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atLeast"/>
        <w:jc w:val="center"/>
        <w:rPr>
          <w:rFonts w:hint="eastAsia" w:ascii="小标宋" w:hAnsi="小标宋" w:eastAsia="小标宋" w:cs="小标宋"/>
          <w:b/>
          <w:kern w:val="3276"/>
          <w:sz w:val="44"/>
          <w:szCs w:val="44"/>
        </w:rPr>
      </w:pPr>
      <w:r>
        <w:rPr>
          <w:rFonts w:hint="eastAsia" w:ascii="小标宋" w:hAnsi="小标宋" w:eastAsia="小标宋" w:cs="小标宋"/>
          <w:b/>
          <w:kern w:val="3276"/>
          <w:sz w:val="44"/>
          <w:szCs w:val="44"/>
        </w:rPr>
        <w:t>萍乡萍钢安源钢铁有限公司</w:t>
      </w:r>
    </w:p>
    <w:p>
      <w:pPr>
        <w:adjustRightInd w:val="0"/>
        <w:snapToGrid w:val="0"/>
        <w:spacing w:line="540" w:lineRule="atLeast"/>
        <w:jc w:val="center"/>
        <w:rPr>
          <w:rFonts w:hint="eastAsia" w:ascii="小标宋" w:hAnsi="小标宋" w:eastAsia="小标宋" w:cs="小标宋"/>
          <w:b/>
          <w:kern w:val="0"/>
          <w:sz w:val="44"/>
          <w:szCs w:val="32"/>
        </w:rPr>
      </w:pPr>
      <w:r>
        <w:rPr>
          <w:rFonts w:hint="eastAsia" w:ascii="小标宋" w:hAnsi="宋体" w:eastAsia="小标宋"/>
          <w:b/>
          <w:spacing w:val="-20"/>
          <w:kern w:val="3276"/>
          <w:sz w:val="44"/>
          <w:szCs w:val="44"/>
        </w:rPr>
        <w:t>萍安钢铁202</w:t>
      </w:r>
      <w:r>
        <w:rPr>
          <w:rFonts w:hint="eastAsia" w:ascii="小标宋" w:hAnsi="宋体" w:eastAsia="小标宋"/>
          <w:b/>
          <w:spacing w:val="-20"/>
          <w:kern w:val="3276"/>
          <w:sz w:val="44"/>
          <w:szCs w:val="44"/>
          <w:lang w:val="en-US" w:eastAsia="zh-CN"/>
        </w:rPr>
        <w:t>4</w:t>
      </w:r>
      <w:r>
        <w:rPr>
          <w:rFonts w:hint="eastAsia" w:ascii="小标宋" w:hAnsi="宋体" w:eastAsia="小标宋"/>
          <w:b/>
          <w:spacing w:val="-20"/>
          <w:kern w:val="3276"/>
          <w:sz w:val="44"/>
          <w:szCs w:val="44"/>
        </w:rPr>
        <w:t>年度外委吸污车作业项目</w:t>
      </w:r>
      <w:r>
        <w:rPr>
          <w:rFonts w:hint="eastAsia" w:ascii="小标宋" w:hAnsi="小标宋" w:eastAsia="小标宋" w:cs="小标宋"/>
          <w:b/>
          <w:kern w:val="0"/>
          <w:sz w:val="44"/>
          <w:szCs w:val="32"/>
        </w:rPr>
        <w:t>工程</w:t>
      </w:r>
    </w:p>
    <w:p>
      <w:pPr>
        <w:adjustRightInd w:val="0"/>
        <w:snapToGrid w:val="0"/>
        <w:spacing w:line="540" w:lineRule="atLeast"/>
        <w:jc w:val="center"/>
        <w:rPr>
          <w:rFonts w:hint="eastAsia" w:ascii="小标宋" w:hAnsi="小标宋" w:eastAsia="小标宋" w:cs="小标宋"/>
          <w:b/>
          <w:kern w:val="0"/>
          <w:sz w:val="44"/>
          <w:szCs w:val="32"/>
        </w:rPr>
      </w:pPr>
      <w:r>
        <w:rPr>
          <w:rFonts w:hint="eastAsia" w:ascii="小标宋" w:hAnsi="小标宋" w:eastAsia="小标宋" w:cs="小标宋"/>
          <w:b/>
          <w:kern w:val="3276"/>
          <w:sz w:val="44"/>
          <w:szCs w:val="44"/>
        </w:rPr>
        <w:t>招标公告</w:t>
      </w:r>
    </w:p>
    <w:p>
      <w:pPr>
        <w:adjustRightInd w:val="0"/>
        <w:snapToGrid w:val="0"/>
        <w:spacing w:line="540" w:lineRule="atLeast"/>
        <w:jc w:val="center"/>
        <w:rPr>
          <w:rFonts w:hint="eastAsia" w:ascii="仿宋_GB2312" w:hAnsi="仿宋_GB2312" w:eastAsia="仿宋_GB2312" w:cs="仿宋_GB2312"/>
          <w:color w:val="auto"/>
          <w:spacing w:val="12"/>
          <w:sz w:val="32"/>
          <w:szCs w:val="32"/>
        </w:rPr>
      </w:pPr>
      <w:r>
        <w:rPr>
          <w:rFonts w:hint="eastAsia" w:ascii="仿宋_GB2312" w:hAnsi="仿宋_GB2312" w:eastAsia="仿宋_GB2312" w:cs="仿宋_GB2312"/>
          <w:color w:val="auto"/>
          <w:spacing w:val="12"/>
          <w:sz w:val="32"/>
          <w:szCs w:val="32"/>
        </w:rPr>
        <w:t>（业务编号：ZB/JD2023-JX080）</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萍乡萍钢安源钢铁有限公司拟对以下项目进行公开招标，欢迎符合招标条件的单位踊跃参与投标。</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一、招标项目概况</w:t>
      </w:r>
    </w:p>
    <w:p>
      <w:pPr>
        <w:widowControl/>
        <w:spacing w:line="4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项目名称：</w:t>
      </w:r>
      <w:r>
        <w:rPr>
          <w:rFonts w:hint="eastAsia" w:ascii="仿宋_GB2312" w:hAnsi="仿宋_GB2312" w:eastAsia="仿宋_GB2312" w:cs="仿宋_GB2312"/>
          <w:color w:val="000000"/>
          <w:sz w:val="32"/>
          <w:szCs w:val="32"/>
        </w:rPr>
        <w:t>萍安钢铁202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年度外委吸污车作业项目</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技术要求：国家现行规范标准</w:t>
      </w:r>
    </w:p>
    <w:p>
      <w:pPr>
        <w:adjustRightInd w:val="0"/>
        <w:snapToGrid w:val="0"/>
        <w:spacing w:line="540" w:lineRule="atLeas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建设地址：</w:t>
      </w:r>
      <w:r>
        <w:rPr>
          <w:rFonts w:hint="eastAsia" w:ascii="仿宋_GB2312" w:hAnsi="仿宋_GB2312" w:eastAsia="仿宋_GB2312" w:cs="仿宋_GB2312"/>
          <w:sz w:val="32"/>
          <w:szCs w:val="32"/>
          <w:lang w:eastAsia="zh-CN"/>
        </w:rPr>
        <w:t>萍</w:t>
      </w:r>
      <w:r>
        <w:rPr>
          <w:rFonts w:hint="eastAsia" w:ascii="仿宋_GB2312" w:hAnsi="仿宋_GB2312" w:eastAsia="仿宋_GB2312" w:cs="仿宋_GB2312"/>
          <w:color w:val="000000"/>
          <w:sz w:val="32"/>
          <w:szCs w:val="32"/>
        </w:rPr>
        <w:t>乡萍钢安源钢铁有限公司安源生产区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湘东生产区</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项目工期：</w:t>
      </w:r>
      <w:r>
        <w:rPr>
          <w:rFonts w:hint="eastAsia" w:ascii="仿宋_GB2312" w:hAnsi="仿宋_GB2312" w:eastAsia="仿宋_GB2312" w:cs="仿宋_GB2312"/>
          <w:sz w:val="32"/>
          <w:szCs w:val="32"/>
          <w:u w:val="none"/>
          <w:lang w:val="en-US" w:eastAsia="zh-CN"/>
        </w:rPr>
        <w:t>365天</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承包方式：</w:t>
      </w:r>
      <w:r>
        <w:rPr>
          <w:rFonts w:hint="eastAsia" w:ascii="仿宋_GB2312" w:hAnsi="仿宋_GB2312" w:eastAsia="仿宋_GB2312" w:cs="仿宋_GB2312"/>
          <w:color w:val="000000"/>
          <w:sz w:val="32"/>
          <w:szCs w:val="32"/>
        </w:rPr>
        <w:t>包工包料</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报名截止时间：</w:t>
      </w:r>
      <w:r>
        <w:rPr>
          <w:rFonts w:hint="eastAsia" w:ascii="仿宋_GB2312" w:hAnsi="仿宋_GB2312" w:eastAsia="仿宋_GB2312" w:cs="仿宋_GB2312"/>
          <w:sz w:val="32"/>
          <w:szCs w:val="32"/>
          <w:u w:val="single"/>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29</w:t>
      </w:r>
      <w:r>
        <w:rPr>
          <w:rFonts w:hint="eastAsia" w:ascii="仿宋_GB2312" w:hAnsi="仿宋_GB2312" w:eastAsia="仿宋_GB2312" w:cs="仿宋_GB2312"/>
          <w:sz w:val="32"/>
          <w:szCs w:val="32"/>
        </w:rPr>
        <w:t>日</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招标时间：暂定</w:t>
      </w:r>
      <w:r>
        <w:rPr>
          <w:rFonts w:hint="eastAsia" w:ascii="仿宋_GB2312" w:hAnsi="仿宋_GB2312" w:eastAsia="仿宋_GB2312" w:cs="仿宋_GB2312"/>
          <w:sz w:val="32"/>
          <w:szCs w:val="32"/>
          <w:u w:val="single"/>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12</w:t>
      </w:r>
      <w:r>
        <w:rPr>
          <w:rFonts w:hint="eastAsia" w:ascii="仿宋_GB2312" w:hAnsi="仿宋_GB2312" w:eastAsia="仿宋_GB2312" w:cs="仿宋_GB2312"/>
          <w:sz w:val="32"/>
          <w:szCs w:val="32"/>
        </w:rPr>
        <w:t>日</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二、招标范围</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萍安钢铁厂区淤泥池、暗沟清理，具体以委托单约定为准</w:t>
      </w:r>
      <w:r>
        <w:rPr>
          <w:rFonts w:hint="eastAsia" w:ascii="仿宋_GB2312" w:hAnsi="仿宋_GB2312" w:eastAsia="仿宋_GB2312" w:cs="仿宋_GB2312"/>
          <w:sz w:val="32"/>
          <w:szCs w:val="32"/>
        </w:rPr>
        <w:t>。</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具体内容及要求详见招标文件。</w:t>
      </w:r>
    </w:p>
    <w:p>
      <w:pPr>
        <w:adjustRightInd w:val="0"/>
        <w:snapToGrid w:val="0"/>
        <w:spacing w:line="54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资格要求</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w:t>
      </w:r>
      <w:r>
        <w:rPr>
          <w:rFonts w:hint="eastAsia" w:ascii="仿宋_GB2312" w:hAnsi="仿宋_GB2312" w:eastAsia="仿宋_GB2312" w:cs="仿宋_GB2312"/>
          <w:color w:val="000000" w:themeColor="text1"/>
          <w:sz w:val="32"/>
          <w:szCs w:val="32"/>
          <w14:textFill>
            <w14:solidFill>
              <w14:schemeClr w14:val="tx1"/>
            </w14:solidFill>
          </w14:textFill>
        </w:rPr>
        <w:t>独立法人资格，</w:t>
      </w:r>
      <w:r>
        <w:rPr>
          <w:rFonts w:hint="eastAsia" w:ascii="仿宋_GB2312" w:hAnsi="仿宋_GB2312" w:eastAsia="仿宋_GB2312" w:cs="仿宋_GB2312"/>
          <w:sz w:val="32"/>
          <w:szCs w:val="32"/>
        </w:rPr>
        <w:t>能独立承担民事责任能力，有良好信誉、工程业绩和经济实力，并具有较强售后服务能力的承包商。</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（二）资质要求：</w:t>
      </w:r>
      <w:r>
        <w:rPr>
          <w:rFonts w:hint="eastAsia" w:ascii="仿宋_GB2312" w:hAnsi="仿宋_GB2312" w:eastAsia="仿宋_GB2312" w:cs="仿宋_GB2312"/>
          <w:color w:val="000000"/>
          <w:kern w:val="0"/>
          <w:sz w:val="32"/>
          <w:szCs w:val="32"/>
        </w:rPr>
        <w:t>具有独立法人资格</w:t>
      </w:r>
      <w:r>
        <w:rPr>
          <w:rFonts w:hint="eastAsia" w:ascii="仿宋_GB2312" w:hAnsi="仿宋_GB2312" w:eastAsia="仿宋_GB2312" w:cs="仿宋_GB2312"/>
          <w:color w:val="000000"/>
          <w:kern w:val="0"/>
          <w:sz w:val="32"/>
          <w:szCs w:val="32"/>
          <w:lang w:eastAsia="zh-CN"/>
        </w:rPr>
        <w:t>的</w:t>
      </w:r>
      <w:r>
        <w:rPr>
          <w:rFonts w:hint="eastAsia" w:ascii="仿宋_GB2312" w:hAnsi="仿宋_GB2312" w:eastAsia="仿宋_GB2312" w:cs="仿宋_GB2312"/>
          <w:color w:val="000000"/>
          <w:sz w:val="32"/>
          <w:szCs w:val="32"/>
        </w:rPr>
        <w:t>营业执照</w:t>
      </w:r>
      <w:r>
        <w:rPr>
          <w:rFonts w:hint="eastAsia" w:ascii="仿宋_GB2312" w:hAnsi="仿宋_GB2312" w:eastAsia="仿宋_GB2312" w:cs="仿宋_GB2312"/>
          <w:sz w:val="32"/>
          <w:szCs w:val="32"/>
          <w:lang w:eastAsia="zh-CN"/>
        </w:rPr>
        <w:t>（成立于</w:t>
      </w:r>
      <w:r>
        <w:rPr>
          <w:rFonts w:hint="eastAsia" w:ascii="仿宋_GB2312" w:hAnsi="仿宋_GB2312" w:eastAsia="仿宋_GB2312" w:cs="仿宋_GB2312"/>
          <w:sz w:val="32"/>
          <w:szCs w:val="32"/>
          <w:lang w:val="en-US" w:eastAsia="zh-CN"/>
        </w:rPr>
        <w:t>2019年2月29日前</w:t>
      </w:r>
      <w:r>
        <w:rPr>
          <w:rFonts w:hint="eastAsia" w:ascii="仿宋_GB2312" w:hAnsi="仿宋_GB2312" w:eastAsia="仿宋_GB2312" w:cs="仿宋_GB2312"/>
          <w:sz w:val="32"/>
          <w:szCs w:val="32"/>
          <w:lang w:eastAsia="zh-CN"/>
        </w:rPr>
        <w:t>）。</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四、报名方式及提交材料要求</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（一）报名方式：以</w:t>
      </w:r>
      <w:r>
        <w:rPr>
          <w:rFonts w:hint="eastAsia" w:ascii="仿宋_GB2312" w:hAnsi="仿宋_GB2312" w:eastAsia="仿宋_GB2312" w:cs="仿宋_GB2312"/>
          <w:kern w:val="0"/>
          <w:sz w:val="32"/>
          <w:szCs w:val="32"/>
        </w:rPr>
        <w:t>纸质版报名材料提交至招标单位或以电子邮件的方式将报名材料发送至agqhb@pxsteel.com邮箱，发邮件</w:t>
      </w:r>
      <w:r>
        <w:rPr>
          <w:rFonts w:hint="eastAsia" w:ascii="仿宋_GB2312" w:hAnsi="仿宋_GB2312" w:eastAsia="仿宋_GB2312" w:cs="仿宋_GB2312"/>
          <w:sz w:val="32"/>
          <w:szCs w:val="32"/>
        </w:rPr>
        <w:t>时请注明主题名称：××</w:t>
      </w:r>
      <w:r>
        <w:rPr>
          <w:rFonts w:hint="eastAsia" w:ascii="仿宋_GB2312" w:hAnsi="仿宋_GB2312" w:eastAsia="仿宋_GB2312" w:cs="仿宋_GB2312"/>
          <w:color w:val="000000"/>
          <w:sz w:val="32"/>
          <w:szCs w:val="32"/>
        </w:rPr>
        <w:t>公司报名萍安钢铁202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年度外委吸污车作业项目投标材料</w:t>
      </w:r>
      <w:r>
        <w:rPr>
          <w:rFonts w:hint="eastAsia" w:ascii="仿宋_GB2312" w:hAnsi="仿宋_GB2312" w:eastAsia="仿宋_GB2312" w:cs="仿宋_GB2312"/>
          <w:sz w:val="32"/>
          <w:szCs w:val="32"/>
        </w:rPr>
        <w:t>。网上报名如不按此要求发送邮件，由此导致邮件遗失，招标单位不负任何责任。</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（二）报名所需相关材料</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kern w:val="0"/>
          <w:sz w:val="32"/>
          <w:szCs w:val="32"/>
        </w:rPr>
        <w:t>具有独立法人资格</w:t>
      </w:r>
      <w:r>
        <w:rPr>
          <w:rFonts w:hint="eastAsia" w:ascii="仿宋_GB2312" w:hAnsi="仿宋_GB2312" w:eastAsia="仿宋_GB2312" w:cs="仿宋_GB2312"/>
          <w:color w:val="000000"/>
          <w:kern w:val="0"/>
          <w:sz w:val="32"/>
          <w:szCs w:val="32"/>
          <w:lang w:eastAsia="zh-CN"/>
        </w:rPr>
        <w:t>的</w:t>
      </w:r>
      <w:r>
        <w:rPr>
          <w:rFonts w:hint="eastAsia" w:ascii="仿宋_GB2312" w:hAnsi="仿宋_GB2312" w:eastAsia="仿宋_GB2312" w:cs="仿宋_GB2312"/>
          <w:color w:val="000000"/>
          <w:sz w:val="32"/>
          <w:szCs w:val="32"/>
        </w:rPr>
        <w:t>营业执照</w:t>
      </w:r>
      <w:r>
        <w:rPr>
          <w:rFonts w:hint="eastAsia" w:ascii="仿宋_GB2312" w:hAnsi="仿宋_GB2312" w:eastAsia="仿宋_GB2312" w:cs="仿宋_GB2312"/>
          <w:sz w:val="32"/>
          <w:szCs w:val="32"/>
          <w:lang w:eastAsia="zh-CN"/>
        </w:rPr>
        <w:t>（成立于</w:t>
      </w:r>
      <w:r>
        <w:rPr>
          <w:rFonts w:hint="eastAsia" w:ascii="仿宋_GB2312" w:hAnsi="仿宋_GB2312" w:eastAsia="仿宋_GB2312" w:cs="仿宋_GB2312"/>
          <w:sz w:val="32"/>
          <w:szCs w:val="32"/>
          <w:lang w:val="en-US" w:eastAsia="zh-CN"/>
        </w:rPr>
        <w:t>2019年2月29日前</w:t>
      </w:r>
      <w:r>
        <w:rPr>
          <w:rFonts w:hint="eastAsia" w:ascii="仿宋_GB2312" w:hAnsi="仿宋_GB2312" w:eastAsia="仿宋_GB2312" w:cs="仿宋_GB2312"/>
          <w:sz w:val="32"/>
          <w:szCs w:val="32"/>
          <w:lang w:eastAsia="zh-CN"/>
        </w:rPr>
        <w:t>）。</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sz w:val="32"/>
          <w:szCs w:val="32"/>
        </w:rPr>
        <w:t>法定代表人资格证明书</w:t>
      </w:r>
      <w:r>
        <w:rPr>
          <w:rFonts w:hint="eastAsia" w:ascii="仿宋_GB2312" w:hAnsi="仿宋_GB2312" w:eastAsia="仿宋_GB2312" w:cs="仿宋_GB2312"/>
          <w:sz w:val="32"/>
          <w:szCs w:val="32"/>
        </w:rPr>
        <w:t>（见附件1）、法人代表授权书原件</w:t>
      </w:r>
      <w:r>
        <w:rPr>
          <w:rFonts w:hint="eastAsia" w:ascii="仿宋_GB2312" w:hAnsi="仿宋_GB2312" w:eastAsia="仿宋_GB2312" w:cs="仿宋_GB2312"/>
          <w:color w:val="000000"/>
          <w:sz w:val="32"/>
          <w:szCs w:val="32"/>
        </w:rPr>
        <w:t>（如法人代表参加投标则无须提供）</w:t>
      </w:r>
      <w:r>
        <w:rPr>
          <w:rFonts w:hint="eastAsia" w:ascii="仿宋_GB2312" w:hAnsi="仿宋_GB2312" w:eastAsia="仿宋_GB2312" w:cs="仿宋_GB2312"/>
          <w:sz w:val="32"/>
          <w:szCs w:val="32"/>
        </w:rPr>
        <w:t>、法人代表及代理人身份证复印件（见附件2）和承诺书（见附件3）。</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3.企业介绍和业绩材料（合同复印件）。</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4.联系人及手机号码、电子邮箱、公司座机号码及传真号。</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5.开票信息，银行开户许可证</w:t>
      </w:r>
      <w:r>
        <w:rPr>
          <w:rFonts w:hint="eastAsia" w:ascii="仿宋_GB2312" w:hAnsi="仿宋_GB2312" w:eastAsia="仿宋_GB2312" w:cs="仿宋_GB2312"/>
          <w:color w:val="auto"/>
          <w:sz w:val="32"/>
          <w:szCs w:val="32"/>
        </w:rPr>
        <w:t>（或基本存款账户信息）</w:t>
      </w:r>
      <w:r>
        <w:rPr>
          <w:rFonts w:hint="eastAsia" w:ascii="仿宋_GB2312" w:hAnsi="仿宋_GB2312" w:eastAsia="仿宋_GB2312" w:cs="仿宋_GB2312"/>
          <w:sz w:val="32"/>
          <w:szCs w:val="32"/>
        </w:rPr>
        <w:t>复印件。</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上述资料需加盖报名单位公章。</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（三）招标单位对意向投标单位提交的报名材料进行审查，资格审查完成后，招标单位向初审合格单位发送《招标文件》。</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（四）接到《招标文件》的投标单位按《招标文件》要求的时间以银行转账方式交纳相应招标报名费</w:t>
      </w:r>
      <w:r>
        <w:rPr>
          <w:rFonts w:hint="eastAsia" w:ascii="仿宋_GB2312" w:hAnsi="仿宋_GB2312" w:eastAsia="仿宋_GB2312" w:cs="仿宋_GB2312"/>
          <w:w w:val="90"/>
          <w:kern w:val="0"/>
          <w:sz w:val="32"/>
          <w:szCs w:val="32"/>
          <w:lang w:val="en-US" w:eastAsia="zh-CN"/>
        </w:rPr>
        <w:t>200</w:t>
      </w:r>
      <w:r>
        <w:rPr>
          <w:rFonts w:hint="eastAsia" w:ascii="仿宋_GB2312" w:hAnsi="仿宋_GB2312" w:eastAsia="仿宋_GB2312" w:cs="仿宋_GB2312"/>
          <w:sz w:val="32"/>
          <w:szCs w:val="32"/>
        </w:rPr>
        <w:t>元（不退）和投标保证金</w:t>
      </w:r>
      <w:r>
        <w:rPr>
          <w:rFonts w:hint="eastAsia" w:ascii="仿宋_GB2312" w:hAnsi="仿宋_GB2312" w:eastAsia="仿宋_GB2312" w:cs="仿宋_GB2312"/>
          <w:w w:val="90"/>
          <w:kern w:val="0"/>
          <w:sz w:val="32"/>
          <w:szCs w:val="32"/>
          <w:lang w:val="en-US" w:eastAsia="zh-CN"/>
        </w:rPr>
        <w:t>5</w:t>
      </w:r>
      <w:r>
        <w:rPr>
          <w:rFonts w:hint="eastAsia" w:ascii="仿宋_GB2312" w:hAnsi="仿宋_GB2312" w:eastAsia="仿宋_GB2312" w:cs="仿宋_GB2312"/>
          <w:sz w:val="32"/>
          <w:szCs w:val="32"/>
        </w:rPr>
        <w:t>万元（银行转账时注明投标项目名称）。中标单位的投标保证金自动转为履约保证金，履约保证金按</w:t>
      </w:r>
      <w:r>
        <w:rPr>
          <w:rFonts w:hint="eastAsia" w:ascii="仿宋_GB2312" w:hAnsi="仿宋_GB2312" w:eastAsia="仿宋_GB2312" w:cs="仿宋_GB2312"/>
          <w:sz w:val="32"/>
          <w:szCs w:val="32"/>
          <w:lang w:eastAsia="zh-CN"/>
        </w:rPr>
        <w:t>中标</w:t>
      </w:r>
      <w:r>
        <w:rPr>
          <w:rFonts w:hint="eastAsia" w:ascii="仿宋_GB2312" w:hAnsi="仿宋_GB2312" w:eastAsia="仿宋_GB2312" w:cs="仿宋_GB2312"/>
          <w:sz w:val="32"/>
          <w:szCs w:val="32"/>
        </w:rPr>
        <w:t>金额的</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%收取，多退少补</w:t>
      </w:r>
      <w:r>
        <w:rPr>
          <w:rFonts w:hint="eastAsia" w:ascii="仿宋_GB2312" w:hAnsi="仿宋_GB2312" w:eastAsia="仿宋_GB2312" w:cs="仿宋_GB2312"/>
          <w:color w:val="auto"/>
          <w:sz w:val="32"/>
          <w:szCs w:val="32"/>
        </w:rPr>
        <w:t>（现金）</w:t>
      </w:r>
      <w:r>
        <w:rPr>
          <w:rFonts w:hint="eastAsia" w:ascii="仿宋_GB2312" w:hAnsi="仿宋_GB2312" w:eastAsia="仿宋_GB2312" w:cs="仿宋_GB2312"/>
          <w:sz w:val="32"/>
          <w:szCs w:val="32"/>
        </w:rPr>
        <w:t>，未中标单位的投标保证金在宣标后15个工作日内一次性返还（无息）。</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五、招标单位信息</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招标单位：萍乡萍钢安源钢铁有限公司</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地址：萍乡经济开发区高新技术工业园东区</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邮编：337000</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朱</w:t>
      </w:r>
      <w:r>
        <w:rPr>
          <w:rFonts w:hint="eastAsia" w:ascii="仿宋_GB2312" w:hAnsi="仿宋_GB2312" w:eastAsia="仿宋_GB2312" w:cs="仿宋_GB2312"/>
          <w:sz w:val="32"/>
          <w:szCs w:val="32"/>
        </w:rPr>
        <w:t>先生1887059</w:t>
      </w:r>
      <w:r>
        <w:rPr>
          <w:rFonts w:hint="eastAsia" w:ascii="仿宋_GB2312" w:hAnsi="仿宋_GB2312" w:eastAsia="仿宋_GB2312" w:cs="仿宋_GB2312"/>
          <w:sz w:val="32"/>
          <w:szCs w:val="32"/>
          <w:lang w:val="en-US" w:eastAsia="zh-CN"/>
        </w:rPr>
        <w:t>8776</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尹</w:t>
      </w:r>
      <w:r>
        <w:rPr>
          <w:rFonts w:hint="eastAsia" w:ascii="仿宋_GB2312" w:hAnsi="仿宋_GB2312" w:eastAsia="仿宋_GB2312" w:cs="仿宋_GB2312"/>
          <w:sz w:val="32"/>
          <w:szCs w:val="32"/>
        </w:rPr>
        <w:t>先生1887099</w:t>
      </w:r>
      <w:r>
        <w:rPr>
          <w:rFonts w:hint="eastAsia" w:ascii="仿宋_GB2312" w:hAnsi="仿宋_GB2312" w:eastAsia="仿宋_GB2312" w:cs="仿宋_GB2312"/>
          <w:sz w:val="32"/>
          <w:szCs w:val="32"/>
          <w:lang w:val="en-US" w:eastAsia="zh-CN"/>
        </w:rPr>
        <w:t>0290</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电子邮件：</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"mailto:agqhb@pxsteel.com"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szCs w:val="32"/>
        </w:rPr>
        <w:t>agqhb@pxsteel.com</w:t>
      </w:r>
      <w:r>
        <w:rPr>
          <w:rFonts w:hint="eastAsia" w:ascii="仿宋_GB2312" w:hAnsi="仿宋_GB2312" w:eastAsia="仿宋_GB2312" w:cs="仿宋_GB2312"/>
          <w:sz w:val="32"/>
          <w:szCs w:val="32"/>
        </w:rPr>
        <w:fldChar w:fldCharType="end"/>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网址：www.pxsteel.com</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开户银行：中国建设银行股份有限公司萍乡湘东支行   </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账号：36001752010052504776</w:t>
      </w:r>
    </w:p>
    <w:p>
      <w:pPr>
        <w:adjustRightInd w:val="0"/>
        <w:snapToGrid w:val="0"/>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监督电话：0799－6356116</w:t>
      </w:r>
    </w:p>
    <w:p>
      <w:pPr>
        <w:adjustRightInd w:val="0"/>
        <w:snapToGrid w:val="0"/>
        <w:spacing w:line="540" w:lineRule="atLeast"/>
        <w:ind w:firstLine="640" w:firstLineChars="200"/>
        <w:rPr>
          <w:rFonts w:hint="eastAsia" w:ascii="仿宋_GB2312" w:hAnsi="仿宋_GB2312" w:eastAsia="仿宋_GB2312" w:cs="仿宋_GB2312"/>
          <w:sz w:val="32"/>
          <w:szCs w:val="32"/>
        </w:rPr>
      </w:pP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color w:val="000000"/>
          <w:sz w:val="32"/>
          <w:szCs w:val="32"/>
        </w:rPr>
        <w:t>法定代表人资格证明书</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2.法人代表授权书</w:t>
      </w:r>
    </w:p>
    <w:p>
      <w:pPr>
        <w:adjustRightInd w:val="0"/>
        <w:snapToGrid w:val="0"/>
        <w:spacing w:line="540" w:lineRule="atLeas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3.承诺书</w:t>
      </w:r>
    </w:p>
    <w:p>
      <w:pPr>
        <w:adjustRightInd w:val="0"/>
        <w:snapToGrid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djustRightInd w:val="0"/>
        <w:snapToGrid w:val="0"/>
        <w:spacing w:line="540" w:lineRule="atLeast"/>
        <w:rPr>
          <w:rFonts w:hint="eastAsia" w:ascii="仿宋_GB2312" w:hAnsi="仿宋_GB2312" w:eastAsia="仿宋_GB2312" w:cs="仿宋_GB2312"/>
          <w:sz w:val="32"/>
          <w:szCs w:val="32"/>
        </w:rPr>
      </w:pPr>
    </w:p>
    <w:p>
      <w:pPr>
        <w:adjustRightInd w:val="0"/>
        <w:snapToGrid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萍乡萍钢安源钢铁有限公司</w:t>
      </w:r>
    </w:p>
    <w:p>
      <w:pPr>
        <w:adjustRightInd w:val="0"/>
        <w:snapToGrid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20</w:t>
      </w:r>
      <w:bookmarkStart w:id="0" w:name="_GoBack"/>
      <w:bookmarkEnd w:id="0"/>
      <w:r>
        <w:rPr>
          <w:rFonts w:hint="eastAsia" w:ascii="仿宋_GB2312" w:hAnsi="仿宋_GB2312" w:eastAsia="仿宋_GB2312" w:cs="仿宋_GB2312"/>
          <w:sz w:val="32"/>
          <w:szCs w:val="32"/>
        </w:rPr>
        <w:t>日</w:t>
      </w:r>
    </w:p>
    <w:p>
      <w:pPr>
        <w:adjustRightInd w:val="0"/>
        <w:snapToGrid w:val="0"/>
        <w:spacing w:line="540" w:lineRule="atLeast"/>
        <w:rPr>
          <w:rFonts w:hint="eastAsia" w:ascii="仿宋_GB2312" w:hAnsi="仿宋_GB2312" w:eastAsia="仿宋_GB2312" w:cs="仿宋_GB2312"/>
          <w:sz w:val="32"/>
          <w:szCs w:val="32"/>
        </w:rPr>
      </w:pPr>
    </w:p>
    <w:p>
      <w:pPr>
        <w:adjustRightInd w:val="0"/>
        <w:snapToGrid w:val="0"/>
        <w:spacing w:line="540" w:lineRule="atLeast"/>
        <w:rPr>
          <w:rFonts w:hint="eastAsia" w:ascii="仿宋_GB2312" w:hAnsi="仿宋_GB2312" w:eastAsia="仿宋_GB2312" w:cs="仿宋_GB2312"/>
          <w:sz w:val="32"/>
          <w:szCs w:val="32"/>
        </w:rPr>
      </w:pPr>
    </w:p>
    <w:p>
      <w:pPr>
        <w:adjustRightInd w:val="0"/>
        <w:snapToGrid w:val="0"/>
        <w:spacing w:line="540" w:lineRule="atLeast"/>
        <w:rPr>
          <w:rFonts w:hint="eastAsia" w:ascii="仿宋_GB2312" w:hAnsi="仿宋_GB2312" w:eastAsia="仿宋_GB2312" w:cs="仿宋_GB2312"/>
          <w:sz w:val="32"/>
          <w:szCs w:val="32"/>
        </w:rPr>
      </w:pPr>
    </w:p>
    <w:p>
      <w:pPr>
        <w:adjustRightInd w:val="0"/>
        <w:snapToGrid w:val="0"/>
        <w:spacing w:line="540" w:lineRule="atLeast"/>
        <w:rPr>
          <w:rFonts w:hint="eastAsia" w:ascii="仿宋_GB2312" w:hAnsi="仿宋_GB2312" w:eastAsia="仿宋_GB2312" w:cs="仿宋_GB2312"/>
          <w:sz w:val="32"/>
          <w:szCs w:val="32"/>
        </w:rPr>
      </w:pPr>
    </w:p>
    <w:p>
      <w:pPr>
        <w:adjustRightInd w:val="0"/>
        <w:snapToGrid w:val="0"/>
        <w:spacing w:line="540" w:lineRule="atLeast"/>
        <w:rPr>
          <w:rFonts w:hint="eastAsia" w:ascii="仿宋_GB2312" w:hAnsi="仿宋_GB2312" w:eastAsia="仿宋_GB2312" w:cs="仿宋_GB2312"/>
          <w:sz w:val="32"/>
          <w:szCs w:val="32"/>
        </w:rPr>
      </w:pPr>
    </w:p>
    <w:p>
      <w:pPr>
        <w:adjustRightInd w:val="0"/>
        <w:snapToGrid w:val="0"/>
        <w:spacing w:line="540" w:lineRule="atLeast"/>
        <w:rPr>
          <w:rFonts w:hint="eastAsia" w:ascii="仿宋_GB2312" w:hAnsi="仿宋_GB2312" w:eastAsia="仿宋_GB2312" w:cs="仿宋_GB2312"/>
          <w:sz w:val="32"/>
          <w:szCs w:val="32"/>
        </w:rPr>
      </w:pPr>
    </w:p>
    <w:p>
      <w:pPr>
        <w:adjustRightInd w:val="0"/>
        <w:snapToGrid w:val="0"/>
        <w:spacing w:line="540" w:lineRule="atLeas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b/>
          <w:sz w:val="32"/>
          <w:szCs w:val="32"/>
        </w:rPr>
      </w:pPr>
    </w:p>
    <w:p>
      <w:pPr>
        <w:adjustRightInd w:val="0"/>
        <w:snapToGrid w:val="0"/>
        <w:spacing w:line="52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附件1</w:t>
      </w:r>
    </w:p>
    <w:p>
      <w:pPr>
        <w:adjustRightInd w:val="0"/>
        <w:snapToGrid w:val="0"/>
        <w:spacing w:line="380" w:lineRule="exact"/>
        <w:rPr>
          <w:rFonts w:hint="eastAsia" w:ascii="仿宋_GB2312" w:hAnsi="仿宋_GB2312" w:eastAsia="仿宋_GB2312" w:cs="仿宋_GB2312"/>
          <w:b/>
          <w:sz w:val="32"/>
          <w:szCs w:val="32"/>
        </w:rPr>
      </w:pPr>
    </w:p>
    <w:p>
      <w:pPr>
        <w:widowControl/>
        <w:spacing w:line="640" w:lineRule="exact"/>
        <w:ind w:firstLine="102"/>
        <w:jc w:val="center"/>
        <w:rPr>
          <w:rFonts w:hint="eastAsia" w:ascii="仿宋_GB2312" w:hAnsi="仿宋_GB2312" w:eastAsia="仿宋_GB2312" w:cs="仿宋_GB2312"/>
          <w:b/>
          <w:kern w:val="44"/>
          <w:sz w:val="44"/>
          <w:szCs w:val="44"/>
        </w:rPr>
      </w:pPr>
      <w:r>
        <w:rPr>
          <w:rFonts w:hint="eastAsia" w:ascii="仿宋_GB2312" w:hAnsi="仿宋_GB2312" w:eastAsia="仿宋_GB2312" w:cs="仿宋_GB2312"/>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hint="eastAsia" w:ascii="仿宋_GB2312" w:hAnsi="仿宋_GB2312" w:eastAsia="仿宋_GB2312" w:cs="仿宋_GB2312"/>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adjustRightInd w:val="0"/>
        <w:snapToGrid w:val="0"/>
        <w:spacing w:line="52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kern w:val="0"/>
          <w:sz w:val="32"/>
          <w:szCs w:val="32"/>
        </w:rPr>
        <w:t>________，</w:t>
      </w:r>
      <w:r>
        <w:rPr>
          <w:rFonts w:hint="eastAsia" w:ascii="仿宋_GB2312" w:hAnsi="仿宋_GB2312" w:eastAsia="仿宋_GB2312" w:cs="仿宋_GB2312"/>
          <w:sz w:val="32"/>
          <w:szCs w:val="32"/>
        </w:rPr>
        <w:t>身份证号：</w:t>
      </w:r>
      <w:r>
        <w:rPr>
          <w:rFonts w:hint="eastAsia" w:ascii="仿宋_GB2312" w:hAnsi="仿宋_GB2312" w:eastAsia="仿宋_GB2312" w:cs="仿宋_GB2312"/>
          <w:kern w:val="0"/>
          <w:sz w:val="32"/>
          <w:szCs w:val="32"/>
        </w:rPr>
        <w:t>___________，在我公司</w:t>
      </w:r>
      <w:r>
        <w:rPr>
          <w:rFonts w:hint="eastAsia" w:ascii="仿宋_GB2312" w:hAnsi="仿宋_GB2312" w:eastAsia="仿宋_GB2312" w:cs="仿宋_GB2312"/>
          <w:sz w:val="32"/>
          <w:szCs w:val="32"/>
        </w:rPr>
        <w:t>职务：</w:t>
      </w:r>
      <w:r>
        <w:rPr>
          <w:rFonts w:hint="eastAsia" w:ascii="仿宋_GB2312" w:hAnsi="仿宋_GB2312" w:eastAsia="仿宋_GB2312" w:cs="仿宋_GB2312"/>
          <w:kern w:val="0"/>
          <w:sz w:val="32"/>
          <w:szCs w:val="32"/>
        </w:rPr>
        <w:t>_______，</w:t>
      </w:r>
      <w:r>
        <w:rPr>
          <w:rFonts w:hint="eastAsia" w:ascii="仿宋_GB2312" w:hAnsi="仿宋_GB2312" w:eastAsia="仿宋_GB2312" w:cs="仿宋_GB2312"/>
          <w:sz w:val="32"/>
          <w:szCs w:val="32"/>
        </w:rPr>
        <w:t>系</w:t>
      </w:r>
      <w:r>
        <w:rPr>
          <w:rFonts w:hint="eastAsia" w:ascii="仿宋_GB2312" w:hAnsi="仿宋_GB2312" w:eastAsia="仿宋_GB2312" w:cs="仿宋_GB2312"/>
          <w:kern w:val="0"/>
          <w:sz w:val="32"/>
          <w:szCs w:val="32"/>
        </w:rPr>
        <w:t>_________________</w:t>
      </w:r>
      <w:r>
        <w:rPr>
          <w:rFonts w:hint="eastAsia" w:ascii="仿宋_GB2312" w:hAnsi="仿宋_GB2312" w:eastAsia="仿宋_GB2312" w:cs="仿宋_GB2312"/>
          <w:sz w:val="32"/>
          <w:szCs w:val="32"/>
        </w:rPr>
        <w:t>的法定代表人，代表我公司参加贵公司</w:t>
      </w:r>
      <w:r>
        <w:rPr>
          <w:rFonts w:hint="eastAsia" w:ascii="仿宋_GB2312" w:hAnsi="仿宋_GB2312" w:eastAsia="仿宋_GB2312" w:cs="仿宋_GB2312"/>
          <w:color w:val="000000"/>
          <w:sz w:val="32"/>
          <w:szCs w:val="32"/>
        </w:rPr>
        <w:t>萍安钢铁202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年度外委吸污车作业项目</w:t>
      </w:r>
      <w:r>
        <w:rPr>
          <w:rFonts w:hint="eastAsia" w:ascii="仿宋_GB2312" w:hAnsi="仿宋_GB2312" w:eastAsia="仿宋_GB2312" w:cs="仿宋_GB2312"/>
          <w:kern w:val="0"/>
          <w:sz w:val="32"/>
          <w:szCs w:val="32"/>
          <w:lang w:eastAsia="zh-CN"/>
        </w:rPr>
        <w:t>（业务编号：</w:t>
      </w:r>
      <w:r>
        <w:rPr>
          <w:rFonts w:hint="eastAsia" w:ascii="仿宋_GB2312" w:hAnsi="仿宋_GB2312" w:eastAsia="仿宋_GB2312" w:cs="仿宋_GB2312"/>
          <w:spacing w:val="12"/>
          <w:sz w:val="32"/>
          <w:szCs w:val="32"/>
        </w:rPr>
        <w:t>ZB/JD2023-JX080</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投标人：(盖章)</w:t>
      </w:r>
    </w:p>
    <w:p>
      <w:pPr>
        <w:adjustRightInd w:val="0"/>
        <w:snapToGrid w:val="0"/>
        <w:spacing w:line="540" w:lineRule="atLeas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xml:space="preserve">                          日期：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kern w:val="0"/>
          <w:sz w:val="32"/>
          <w:szCs w:val="32"/>
        </w:rPr>
        <w:t>__</w:t>
      </w:r>
      <w:r>
        <w:rPr>
          <w:rFonts w:hint="eastAsia" w:ascii="仿宋_GB2312" w:hAnsi="仿宋_GB2312" w:eastAsia="仿宋_GB2312" w:cs="仿宋_GB2312"/>
          <w:sz w:val="32"/>
          <w:szCs w:val="32"/>
        </w:rPr>
        <w:t>月</w:t>
      </w:r>
      <w:r>
        <w:rPr>
          <w:rFonts w:hint="eastAsia" w:ascii="仿宋_GB2312" w:hAnsi="仿宋_GB2312" w:eastAsia="仿宋_GB2312" w:cs="仿宋_GB2312"/>
          <w:kern w:val="0"/>
          <w:sz w:val="32"/>
          <w:szCs w:val="32"/>
        </w:rPr>
        <w:t>__</w:t>
      </w:r>
      <w:r>
        <w:rPr>
          <w:rFonts w:hint="eastAsia" w:ascii="仿宋_GB2312" w:hAnsi="仿宋_GB2312" w:eastAsia="仿宋_GB2312" w:cs="仿宋_GB2312"/>
          <w:sz w:val="32"/>
          <w:szCs w:val="32"/>
        </w:rPr>
        <w:t>日</w:t>
      </w:r>
    </w:p>
    <w:p>
      <w:pPr>
        <w:adjustRightInd w:val="0"/>
        <w:snapToGrid w:val="0"/>
        <w:spacing w:line="540" w:lineRule="atLeast"/>
        <w:rPr>
          <w:rFonts w:hint="eastAsia" w:ascii="仿宋_GB2312" w:hAnsi="仿宋_GB2312" w:eastAsia="仿宋_GB2312" w:cs="仿宋_GB2312"/>
          <w:b/>
          <w:sz w:val="32"/>
          <w:szCs w:val="32"/>
        </w:rPr>
      </w:pPr>
    </w:p>
    <w:p>
      <w:pPr>
        <w:adjustRightInd w:val="0"/>
        <w:snapToGrid w:val="0"/>
        <w:spacing w:line="540" w:lineRule="atLeast"/>
        <w:rPr>
          <w:rFonts w:hint="eastAsia" w:ascii="仿宋_GB2312" w:hAnsi="仿宋_GB2312" w:eastAsia="仿宋_GB2312" w:cs="仿宋_GB2312"/>
          <w:b/>
          <w:sz w:val="32"/>
          <w:szCs w:val="32"/>
        </w:rPr>
      </w:pPr>
    </w:p>
    <w:p>
      <w:pPr>
        <w:adjustRightInd w:val="0"/>
        <w:snapToGrid w:val="0"/>
        <w:spacing w:line="540" w:lineRule="atLeast"/>
        <w:rPr>
          <w:rFonts w:hint="eastAsia" w:ascii="仿宋_GB2312" w:hAnsi="仿宋_GB2312" w:eastAsia="仿宋_GB2312" w:cs="仿宋_GB2312"/>
          <w:b/>
          <w:sz w:val="32"/>
          <w:szCs w:val="32"/>
        </w:rPr>
      </w:pPr>
    </w:p>
    <w:p>
      <w:pPr>
        <w:adjustRightInd w:val="0"/>
        <w:snapToGrid w:val="0"/>
        <w:spacing w:line="540" w:lineRule="atLeast"/>
        <w:rPr>
          <w:rFonts w:hint="eastAsia" w:ascii="仿宋_GB2312" w:hAnsi="仿宋_GB2312" w:eastAsia="仿宋_GB2312" w:cs="仿宋_GB2312"/>
          <w:b/>
          <w:sz w:val="32"/>
          <w:szCs w:val="32"/>
        </w:rPr>
      </w:pPr>
    </w:p>
    <w:p>
      <w:pPr>
        <w:adjustRightInd w:val="0"/>
        <w:snapToGrid w:val="0"/>
        <w:spacing w:line="540" w:lineRule="atLeast"/>
        <w:rPr>
          <w:rFonts w:hint="eastAsia" w:ascii="仿宋_GB2312" w:hAnsi="仿宋_GB2312" w:eastAsia="仿宋_GB2312" w:cs="仿宋_GB2312"/>
          <w:b/>
          <w:sz w:val="32"/>
          <w:szCs w:val="32"/>
        </w:rPr>
      </w:pPr>
    </w:p>
    <w:p>
      <w:pPr>
        <w:adjustRightInd w:val="0"/>
        <w:snapToGrid w:val="0"/>
        <w:spacing w:line="540" w:lineRule="atLeast"/>
        <w:rPr>
          <w:rFonts w:hint="eastAsia" w:ascii="仿宋_GB2312" w:hAnsi="仿宋_GB2312" w:eastAsia="仿宋_GB2312" w:cs="仿宋_GB2312"/>
          <w:b/>
          <w:sz w:val="32"/>
          <w:szCs w:val="32"/>
        </w:rPr>
      </w:pPr>
    </w:p>
    <w:p>
      <w:pPr>
        <w:adjustRightInd w:val="0"/>
        <w:snapToGrid w:val="0"/>
        <w:spacing w:line="540" w:lineRule="atLeast"/>
        <w:rPr>
          <w:rFonts w:hint="eastAsia" w:ascii="仿宋_GB2312" w:hAnsi="仿宋_GB2312" w:eastAsia="仿宋_GB2312" w:cs="仿宋_GB2312"/>
          <w:b/>
          <w:sz w:val="32"/>
          <w:szCs w:val="32"/>
        </w:rPr>
      </w:pPr>
    </w:p>
    <w:p>
      <w:pPr>
        <w:adjustRightInd w:val="0"/>
        <w:snapToGrid w:val="0"/>
        <w:spacing w:line="540" w:lineRule="atLeast"/>
        <w:rPr>
          <w:rFonts w:hint="eastAsia" w:ascii="仿宋_GB2312" w:hAnsi="仿宋_GB2312" w:eastAsia="仿宋_GB2312" w:cs="仿宋_GB2312"/>
          <w:b/>
          <w:sz w:val="32"/>
          <w:szCs w:val="32"/>
        </w:rPr>
      </w:pPr>
    </w:p>
    <w:p>
      <w:pPr>
        <w:adjustRightInd w:val="0"/>
        <w:snapToGrid w:val="0"/>
        <w:spacing w:line="540" w:lineRule="atLeast"/>
        <w:rPr>
          <w:rFonts w:hint="eastAsia" w:ascii="仿宋_GB2312" w:hAnsi="仿宋_GB2312" w:eastAsia="仿宋_GB2312" w:cs="仿宋_GB2312"/>
          <w:b/>
          <w:sz w:val="32"/>
          <w:szCs w:val="32"/>
        </w:rPr>
      </w:pPr>
    </w:p>
    <w:p>
      <w:pPr>
        <w:adjustRightInd w:val="0"/>
        <w:snapToGrid w:val="0"/>
        <w:spacing w:line="540" w:lineRule="atLeast"/>
        <w:rPr>
          <w:rFonts w:hint="eastAsia" w:ascii="仿宋_GB2312" w:hAnsi="仿宋_GB2312" w:eastAsia="仿宋_GB2312" w:cs="仿宋_GB2312"/>
          <w:b/>
          <w:sz w:val="32"/>
          <w:szCs w:val="32"/>
        </w:rPr>
      </w:pPr>
    </w:p>
    <w:p>
      <w:pPr>
        <w:adjustRightInd w:val="0"/>
        <w:snapToGrid w:val="0"/>
        <w:spacing w:line="540" w:lineRule="atLeast"/>
        <w:rPr>
          <w:rFonts w:hint="eastAsia" w:ascii="仿宋_GB2312" w:hAnsi="仿宋_GB2312" w:eastAsia="仿宋_GB2312" w:cs="仿宋_GB2312"/>
          <w:b/>
          <w:sz w:val="32"/>
          <w:szCs w:val="32"/>
        </w:rPr>
      </w:pPr>
    </w:p>
    <w:p>
      <w:pPr>
        <w:adjustRightInd w:val="0"/>
        <w:snapToGrid w:val="0"/>
        <w:spacing w:line="52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附件2</w:t>
      </w:r>
    </w:p>
    <w:p>
      <w:pPr>
        <w:adjustRightInd w:val="0"/>
        <w:snapToGrid w:val="0"/>
        <w:spacing w:line="360" w:lineRule="exact"/>
        <w:rPr>
          <w:rFonts w:hint="eastAsia" w:ascii="仿宋_GB2312" w:hAnsi="仿宋_GB2312" w:eastAsia="仿宋_GB2312" w:cs="仿宋_GB2312"/>
          <w:b/>
          <w:sz w:val="32"/>
          <w:szCs w:val="32"/>
        </w:rPr>
      </w:pPr>
    </w:p>
    <w:p>
      <w:pPr>
        <w:widowControl/>
        <w:spacing w:line="640" w:lineRule="exact"/>
        <w:ind w:firstLine="102"/>
        <w:jc w:val="center"/>
        <w:rPr>
          <w:rFonts w:hint="eastAsia" w:ascii="仿宋_GB2312" w:hAnsi="仿宋_GB2312" w:eastAsia="仿宋_GB2312" w:cs="仿宋_GB2312"/>
          <w:b/>
          <w:kern w:val="44"/>
          <w:sz w:val="44"/>
          <w:szCs w:val="44"/>
        </w:rPr>
      </w:pPr>
      <w:r>
        <w:rPr>
          <w:rFonts w:hint="eastAsia" w:ascii="仿宋_GB2312" w:hAnsi="仿宋_GB2312" w:eastAsia="仿宋_GB2312" w:cs="仿宋_GB2312"/>
          <w:b/>
          <w:kern w:val="44"/>
          <w:sz w:val="44"/>
          <w:szCs w:val="44"/>
        </w:rPr>
        <w:t>法人代表授权书</w:t>
      </w:r>
    </w:p>
    <w:p>
      <w:pPr>
        <w:widowControl/>
        <w:spacing w:line="380" w:lineRule="exact"/>
        <w:ind w:firstLine="102"/>
        <w:jc w:val="center"/>
        <w:rPr>
          <w:rFonts w:hint="eastAsia" w:ascii="仿宋_GB2312" w:hAnsi="仿宋_GB2312" w:eastAsia="仿宋_GB2312" w:cs="仿宋_GB2312"/>
          <w:kern w:val="44"/>
          <w:sz w:val="44"/>
          <w:szCs w:val="44"/>
        </w:rPr>
      </w:pP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萍乡萍钢安源钢铁有限公司</w:t>
      </w:r>
      <w:r>
        <w:rPr>
          <w:rFonts w:hint="eastAsia" w:ascii="仿宋_GB2312" w:hAnsi="仿宋_GB2312" w:eastAsia="仿宋_GB2312" w:cs="仿宋_GB2312"/>
          <w:sz w:val="32"/>
          <w:szCs w:val="32"/>
          <w:shd w:val="clear" w:color="auto" w:fill="FFFFFF"/>
        </w:rPr>
        <w:t>：</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是中华人民共和国合法企业，法定地址：</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法定代表人</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特授权</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代表我公司全权办理针对贵公司</w:t>
      </w:r>
      <w:r>
        <w:rPr>
          <w:rFonts w:hint="eastAsia" w:ascii="仿宋_GB2312" w:hAnsi="仿宋_GB2312" w:eastAsia="仿宋_GB2312" w:cs="仿宋_GB2312"/>
          <w:color w:val="000000"/>
          <w:sz w:val="32"/>
          <w:szCs w:val="32"/>
        </w:rPr>
        <w:t>萍安钢铁202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年度外委吸污车作业项目</w:t>
      </w:r>
      <w:r>
        <w:rPr>
          <w:rFonts w:hint="eastAsia" w:ascii="仿宋_GB2312" w:hAnsi="仿宋_GB2312" w:eastAsia="仿宋_GB2312" w:cs="仿宋_GB2312"/>
          <w:sz w:val="32"/>
          <w:szCs w:val="32"/>
          <w:u w:val="none"/>
          <w:shd w:val="clear" w:color="auto" w:fill="FFFFFF"/>
          <w:lang w:eastAsia="zh-CN"/>
        </w:rPr>
        <w:t>（业务编号：</w:t>
      </w:r>
      <w:r>
        <w:rPr>
          <w:rFonts w:hint="eastAsia" w:ascii="仿宋_GB2312" w:hAnsi="仿宋_GB2312" w:eastAsia="仿宋_GB2312" w:cs="仿宋_GB2312"/>
          <w:spacing w:val="12"/>
          <w:sz w:val="32"/>
          <w:szCs w:val="32"/>
        </w:rPr>
        <w:t>ZB/JD2023-JX080</w:t>
      </w:r>
      <w:r>
        <w:rPr>
          <w:rFonts w:hint="eastAsia" w:ascii="仿宋_GB2312" w:hAnsi="仿宋_GB2312" w:eastAsia="仿宋_GB2312" w:cs="仿宋_GB2312"/>
          <w:sz w:val="32"/>
          <w:szCs w:val="32"/>
          <w:u w:val="none"/>
          <w:shd w:val="clear" w:color="auto" w:fill="FFFFFF"/>
          <w:lang w:eastAsia="zh-CN"/>
        </w:rPr>
        <w:t>）</w:t>
      </w:r>
      <w:r>
        <w:rPr>
          <w:rFonts w:hint="eastAsia" w:ascii="仿宋_GB2312" w:hAnsi="仿宋_GB2312" w:eastAsia="仿宋_GB2312" w:cs="仿宋_GB2312"/>
          <w:sz w:val="32"/>
          <w:szCs w:val="32"/>
          <w:shd w:val="clear" w:color="auto" w:fill="FFFFFF"/>
        </w:rPr>
        <w:t>招标活动的投标、谈判、签约等具体工作，并签署全部的有关文件、协议及合同。</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我公司对被授权人签署的上述文件负全部责任，本授权书有效期：</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日至</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日。</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被授权人签字：</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授权人（签章或签字）：</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HYPERLINK "http://www.so.com/s?q=%E8%BA%AB%E4%BB%BD%E8%AF%81%E5%8F%B7&amp;ie=utf-8&amp;src=wenda_link" \t "_blank"</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szCs w:val="32"/>
          <w:shd w:val="clear" w:color="auto" w:fill="FFFFFF"/>
        </w:rPr>
        <w:t>身份证号</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HYPERLINK "http://www.so.com/s?q=%E8%BA%AB%E4%BB%BD%E8%AF%81%E5%8F%B7&amp;ie=utf-8&amp;src=wenda_link" \t "_blank"</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szCs w:val="32"/>
          <w:shd w:val="clear" w:color="auto" w:fill="FFFFFF"/>
        </w:rPr>
        <w:t>身份证号</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职务：</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职务：</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电话：</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电话：</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ind w:firstLine="5440" w:firstLineChars="1700"/>
        <w:rPr>
          <w:rFonts w:hint="eastAsia" w:ascii="仿宋_GB2312" w:hAnsi="仿宋_GB2312" w:eastAsia="仿宋_GB2312" w:cs="仿宋_GB2312"/>
          <w:sz w:val="32"/>
          <w:szCs w:val="32"/>
          <w:shd w:val="clear" w:color="auto" w:fill="FFFFFF"/>
        </w:rPr>
      </w:pPr>
    </w:p>
    <w:p>
      <w:pPr>
        <w:snapToGrid w:val="0"/>
        <w:spacing w:line="50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单位名称：（公章）</w:t>
      </w:r>
    </w:p>
    <w:p>
      <w:pPr>
        <w:snapToGrid w:val="0"/>
        <w:spacing w:line="50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签署日期：</w:t>
      </w:r>
    </w:p>
    <w:p>
      <w:pPr>
        <w:snapToGrid w:val="0"/>
        <w:spacing w:line="240" w:lineRule="exact"/>
        <w:ind w:firstLine="5120" w:firstLineChars="1600"/>
        <w:rPr>
          <w:rFonts w:hint="eastAsia" w:ascii="仿宋_GB2312" w:hAnsi="仿宋_GB2312" w:eastAsia="仿宋_GB2312" w:cs="仿宋_GB2312"/>
          <w:sz w:val="32"/>
          <w:szCs w:val="32"/>
          <w:shd w:val="clear" w:color="auto" w:fill="FFFFFF"/>
        </w:rPr>
      </w:pPr>
    </w:p>
    <w:p>
      <w:pPr>
        <w:snapToGrid w:val="0"/>
        <w:spacing w:line="500" w:lineRule="exact"/>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被授权人身份证（正、反面）：</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授权人身份证（正、反面）：</w:t>
      </w:r>
    </w:p>
    <w:p>
      <w:pPr>
        <w:adjustRightInd w:val="0"/>
        <w:snapToGrid w:val="0"/>
        <w:spacing w:line="520" w:lineRule="exact"/>
        <w:rPr>
          <w:rFonts w:hint="eastAsia" w:ascii="仿宋_GB2312" w:hAnsi="仿宋_GB2312" w:eastAsia="仿宋_GB2312" w:cs="仿宋_GB2312"/>
          <w:b/>
          <w:sz w:val="32"/>
          <w:szCs w:val="32"/>
        </w:rPr>
      </w:pPr>
    </w:p>
    <w:p>
      <w:pPr>
        <w:adjustRightInd w:val="0"/>
        <w:snapToGrid w:val="0"/>
        <w:spacing w:line="52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附件3</w:t>
      </w:r>
    </w:p>
    <w:p>
      <w:pPr>
        <w:adjustRightInd w:val="0"/>
        <w:snapToGrid w:val="0"/>
        <w:spacing w:line="380" w:lineRule="exact"/>
        <w:rPr>
          <w:rFonts w:hint="eastAsia" w:ascii="仿宋_GB2312" w:hAnsi="仿宋_GB2312" w:eastAsia="仿宋_GB2312" w:cs="仿宋_GB2312"/>
          <w:b/>
          <w:sz w:val="32"/>
          <w:szCs w:val="32"/>
        </w:rPr>
      </w:pPr>
    </w:p>
    <w:p>
      <w:pPr>
        <w:widowControl/>
        <w:spacing w:line="640" w:lineRule="exact"/>
        <w:ind w:firstLine="102"/>
        <w:jc w:val="center"/>
        <w:rPr>
          <w:rFonts w:hint="eastAsia" w:ascii="仿宋_GB2312" w:hAnsi="仿宋_GB2312" w:eastAsia="仿宋_GB2312" w:cs="仿宋_GB2312"/>
          <w:b/>
          <w:spacing w:val="20"/>
          <w:kern w:val="44"/>
          <w:sz w:val="44"/>
          <w:szCs w:val="44"/>
        </w:rPr>
      </w:pPr>
      <w:r>
        <w:rPr>
          <w:rFonts w:hint="eastAsia" w:ascii="仿宋_GB2312" w:hAnsi="仿宋_GB2312" w:eastAsia="仿宋_GB2312" w:cs="仿宋_GB2312"/>
          <w:b/>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rPr>
          <w:rFonts w:hint="eastAsia" w:ascii="仿宋_GB2312" w:hAnsi="仿宋_GB2312" w:eastAsia="仿宋_GB2312" w:cs="仿宋_GB2312"/>
          <w:b/>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我公司自愿参与贵公司萍安钢铁202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年度外委吸污车作业项目</w:t>
      </w:r>
      <w:r>
        <w:rPr>
          <w:rFonts w:hint="eastAsia" w:ascii="仿宋_GB2312" w:hAnsi="仿宋_GB2312" w:eastAsia="仿宋_GB2312" w:cs="仿宋_GB2312"/>
          <w:kern w:val="0"/>
          <w:sz w:val="32"/>
          <w:szCs w:val="32"/>
          <w:lang w:eastAsia="zh-CN"/>
        </w:rPr>
        <w:t>（业务编号：</w:t>
      </w:r>
      <w:r>
        <w:rPr>
          <w:rFonts w:hint="eastAsia" w:ascii="仿宋_GB2312" w:hAnsi="仿宋_GB2312" w:eastAsia="仿宋_GB2312" w:cs="仿宋_GB2312"/>
          <w:spacing w:val="12"/>
          <w:sz w:val="32"/>
          <w:szCs w:val="32"/>
        </w:rPr>
        <w:t>ZB/JD2023-JX080</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000000"/>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若违反上述承诺内容，我公司自愿接受贵公司处理（如：取消投标中标资格、没收</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"http://zhidao.baidu.com/search?word=%E6%8A%95%E6%A0%87%E4%BF%9D%E8%AF%81%E9%87%91&amp;fr=qb_search_exp&amp;ie=utf8"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sz w:val="32"/>
          <w:szCs w:val="32"/>
        </w:rPr>
        <w:t>投标或履约保证金</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），并承担由此造成贵</w:t>
      </w:r>
      <w:r>
        <w:rPr>
          <w:rFonts w:hint="eastAsia" w:ascii="仿宋_GB2312" w:hAnsi="仿宋_GB2312" w:eastAsia="仿宋_GB2312" w:cs="仿宋_GB2312"/>
          <w:sz w:val="32"/>
          <w:szCs w:val="32"/>
        </w:rPr>
        <w:t>公司</w:t>
      </w:r>
      <w:r>
        <w:rPr>
          <w:rFonts w:hint="eastAsia" w:ascii="仿宋_GB2312" w:hAnsi="仿宋_GB2312" w:eastAsia="仿宋_GB2312" w:cs="仿宋_GB2312"/>
          <w:color w:val="000000"/>
          <w:sz w:val="32"/>
          <w:szCs w:val="32"/>
        </w:rPr>
        <w:t>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hint="eastAsia" w:ascii="仿宋_GB2312" w:hAnsi="仿宋_GB2312" w:eastAsia="仿宋_GB2312" w:cs="仿宋_GB2312"/>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被授权人</w:t>
      </w:r>
      <w:r>
        <w:rPr>
          <w:rFonts w:hint="eastAsia" w:ascii="仿宋_GB2312" w:hAnsi="仿宋_GB2312" w:eastAsia="仿宋_GB2312" w:cs="仿宋_GB2312"/>
          <w:color w:val="000000"/>
          <w:sz w:val="32"/>
          <w:szCs w:val="32"/>
        </w:rPr>
        <w:t>（签名）：</w:t>
      </w:r>
    </w:p>
    <w:p>
      <w:pPr>
        <w:adjustRightInd w:val="0"/>
        <w:snapToGrid w:val="0"/>
        <w:spacing w:line="540" w:lineRule="atLeast"/>
        <w:rPr>
          <w:rFonts w:hint="eastAsia" w:ascii="仿宋_GB2312" w:hAnsi="仿宋_GB2312" w:eastAsia="仿宋_GB2312" w:cs="仿宋_GB2312"/>
          <w:sz w:val="30"/>
          <w:szCs w:val="30"/>
        </w:rPr>
      </w:pPr>
      <w:r>
        <w:rPr>
          <w:rFonts w:hint="eastAsia" w:ascii="仿宋_GB2312" w:hAnsi="仿宋_GB2312" w:eastAsia="仿宋_GB2312" w:cs="仿宋_GB2312"/>
          <w:color w:val="000000"/>
          <w:sz w:val="32"/>
          <w:szCs w:val="32"/>
        </w:rPr>
        <w:t xml:space="preserve">                                  日期：</w:t>
      </w:r>
      <w:r>
        <w:rPr>
          <w:rFonts w:hint="eastAsia" w:ascii="仿宋_GB2312" w:hAnsi="仿宋_GB2312" w:eastAsia="仿宋_GB2312" w:cs="仿宋_GB2312"/>
          <w:kern w:val="0"/>
          <w:sz w:val="30"/>
          <w:szCs w:val="30"/>
        </w:rPr>
        <w:t>____</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kern w:val="0"/>
          <w:sz w:val="30"/>
          <w:szCs w:val="30"/>
        </w:rPr>
        <w:t>___</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kern w:val="0"/>
          <w:sz w:val="30"/>
          <w:szCs w:val="30"/>
        </w:rPr>
        <w:t>___</w:t>
      </w:r>
      <w:r>
        <w:rPr>
          <w:rFonts w:hint="eastAsia" w:ascii="仿宋_GB2312" w:hAnsi="仿宋_GB2312" w:eastAsia="仿宋_GB2312" w:cs="仿宋_GB2312"/>
          <w:color w:val="000000"/>
          <w:sz w:val="32"/>
          <w:szCs w:val="32"/>
        </w:rPr>
        <w:t>日</w:t>
      </w:r>
    </w:p>
    <w:sectPr>
      <w:footerReference r:id="rId5" w:type="first"/>
      <w:footerReference r:id="rId3" w:type="default"/>
      <w:footerReference r:id="rId4" w:type="even"/>
      <w:type w:val="continuous"/>
      <w:pgSz w:w="11906" w:h="16838"/>
      <w:pgMar w:top="1531" w:right="1531" w:bottom="1531" w:left="1531"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398907"/>
      <w:docPartObj>
        <w:docPartGallery w:val="autotext"/>
      </w:docPartObj>
    </w:sdtPr>
    <w:sdtEndPr>
      <w:rPr>
        <w:sz w:val="28"/>
        <w:szCs w:val="28"/>
      </w:rPr>
    </w:sdtEndPr>
    <w:sdtContent>
      <w:p>
        <w:pPr>
          <w:pStyle w:val="6"/>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5</w:t>
        </w:r>
        <w:r>
          <w:rPr>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398906"/>
      <w:docPartObj>
        <w:docPartGallery w:val="autotext"/>
      </w:docPartObj>
    </w:sdtPr>
    <w:sdtContent>
      <w:p>
        <w:pPr>
          <w:pStyle w:val="6"/>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MzhhMWM2ZDViOTI3MmQ2MjM2NWJhMDg3NDU3NTQifQ=="/>
  </w:docVars>
  <w:rsids>
    <w:rsidRoot w:val="00E45291"/>
    <w:rsid w:val="0000076A"/>
    <w:rsid w:val="00013EFD"/>
    <w:rsid w:val="00014928"/>
    <w:rsid w:val="00031B04"/>
    <w:rsid w:val="00047F5D"/>
    <w:rsid w:val="00052109"/>
    <w:rsid w:val="00057FD9"/>
    <w:rsid w:val="000874A1"/>
    <w:rsid w:val="00091766"/>
    <w:rsid w:val="000B1605"/>
    <w:rsid w:val="000B3AD3"/>
    <w:rsid w:val="00105334"/>
    <w:rsid w:val="001134F6"/>
    <w:rsid w:val="001334F9"/>
    <w:rsid w:val="00140DB1"/>
    <w:rsid w:val="001430EC"/>
    <w:rsid w:val="0014351B"/>
    <w:rsid w:val="00164583"/>
    <w:rsid w:val="001933ED"/>
    <w:rsid w:val="001A0003"/>
    <w:rsid w:val="001D4999"/>
    <w:rsid w:val="00213199"/>
    <w:rsid w:val="002208CF"/>
    <w:rsid w:val="00220968"/>
    <w:rsid w:val="002214BB"/>
    <w:rsid w:val="00226452"/>
    <w:rsid w:val="002336DB"/>
    <w:rsid w:val="002410D7"/>
    <w:rsid w:val="00250740"/>
    <w:rsid w:val="002538AA"/>
    <w:rsid w:val="00276F9E"/>
    <w:rsid w:val="00277546"/>
    <w:rsid w:val="002B5483"/>
    <w:rsid w:val="002B7CB3"/>
    <w:rsid w:val="002C6B89"/>
    <w:rsid w:val="002E0813"/>
    <w:rsid w:val="002E0C8B"/>
    <w:rsid w:val="002E184C"/>
    <w:rsid w:val="002E725C"/>
    <w:rsid w:val="0030314D"/>
    <w:rsid w:val="00315469"/>
    <w:rsid w:val="00325870"/>
    <w:rsid w:val="0033428E"/>
    <w:rsid w:val="003366AD"/>
    <w:rsid w:val="00336709"/>
    <w:rsid w:val="003368EC"/>
    <w:rsid w:val="003708C7"/>
    <w:rsid w:val="003809BC"/>
    <w:rsid w:val="00392A20"/>
    <w:rsid w:val="003A14F7"/>
    <w:rsid w:val="003F7DE9"/>
    <w:rsid w:val="004016F7"/>
    <w:rsid w:val="0040464C"/>
    <w:rsid w:val="00413BFA"/>
    <w:rsid w:val="004431C8"/>
    <w:rsid w:val="00461111"/>
    <w:rsid w:val="004613D0"/>
    <w:rsid w:val="004642DE"/>
    <w:rsid w:val="004660E2"/>
    <w:rsid w:val="00480522"/>
    <w:rsid w:val="00483DC5"/>
    <w:rsid w:val="0048410F"/>
    <w:rsid w:val="004878CB"/>
    <w:rsid w:val="00490301"/>
    <w:rsid w:val="00493D44"/>
    <w:rsid w:val="004B516E"/>
    <w:rsid w:val="004C309E"/>
    <w:rsid w:val="004C48F9"/>
    <w:rsid w:val="004C6DDE"/>
    <w:rsid w:val="004E04CE"/>
    <w:rsid w:val="004E0EBC"/>
    <w:rsid w:val="004E5A96"/>
    <w:rsid w:val="004F7B52"/>
    <w:rsid w:val="00503E6A"/>
    <w:rsid w:val="0051152E"/>
    <w:rsid w:val="00520438"/>
    <w:rsid w:val="0052374F"/>
    <w:rsid w:val="00577B04"/>
    <w:rsid w:val="00580B4B"/>
    <w:rsid w:val="0059581C"/>
    <w:rsid w:val="005C06A7"/>
    <w:rsid w:val="005E2A53"/>
    <w:rsid w:val="005E4425"/>
    <w:rsid w:val="00607A58"/>
    <w:rsid w:val="00684D66"/>
    <w:rsid w:val="00693CF0"/>
    <w:rsid w:val="006B38D3"/>
    <w:rsid w:val="006B76FC"/>
    <w:rsid w:val="006D580E"/>
    <w:rsid w:val="006F2662"/>
    <w:rsid w:val="006F7D87"/>
    <w:rsid w:val="007103F8"/>
    <w:rsid w:val="0072057B"/>
    <w:rsid w:val="00724758"/>
    <w:rsid w:val="00731A47"/>
    <w:rsid w:val="00746183"/>
    <w:rsid w:val="007972DF"/>
    <w:rsid w:val="007A0BB3"/>
    <w:rsid w:val="007B5A4C"/>
    <w:rsid w:val="007B6E44"/>
    <w:rsid w:val="007B727A"/>
    <w:rsid w:val="007E17CD"/>
    <w:rsid w:val="007F0C29"/>
    <w:rsid w:val="008300F4"/>
    <w:rsid w:val="008376DB"/>
    <w:rsid w:val="00846B8A"/>
    <w:rsid w:val="00855574"/>
    <w:rsid w:val="00876140"/>
    <w:rsid w:val="00876727"/>
    <w:rsid w:val="00883095"/>
    <w:rsid w:val="00893E9C"/>
    <w:rsid w:val="008A151C"/>
    <w:rsid w:val="008A4E70"/>
    <w:rsid w:val="008A7E6A"/>
    <w:rsid w:val="008D3A64"/>
    <w:rsid w:val="008F1C28"/>
    <w:rsid w:val="008F4BCD"/>
    <w:rsid w:val="00915E3C"/>
    <w:rsid w:val="009164A9"/>
    <w:rsid w:val="00917815"/>
    <w:rsid w:val="009235D8"/>
    <w:rsid w:val="00940BAC"/>
    <w:rsid w:val="00946F99"/>
    <w:rsid w:val="00947086"/>
    <w:rsid w:val="00963E4E"/>
    <w:rsid w:val="00977584"/>
    <w:rsid w:val="009B3EC0"/>
    <w:rsid w:val="009E106D"/>
    <w:rsid w:val="009F2303"/>
    <w:rsid w:val="00A26D6C"/>
    <w:rsid w:val="00A44D0D"/>
    <w:rsid w:val="00A57B62"/>
    <w:rsid w:val="00A67E7E"/>
    <w:rsid w:val="00A76450"/>
    <w:rsid w:val="00A91454"/>
    <w:rsid w:val="00A92E1C"/>
    <w:rsid w:val="00A94D8C"/>
    <w:rsid w:val="00A96B2D"/>
    <w:rsid w:val="00AA1130"/>
    <w:rsid w:val="00AA55D0"/>
    <w:rsid w:val="00AB44F0"/>
    <w:rsid w:val="00AC6954"/>
    <w:rsid w:val="00AD5492"/>
    <w:rsid w:val="00B154AB"/>
    <w:rsid w:val="00B15996"/>
    <w:rsid w:val="00B439B4"/>
    <w:rsid w:val="00B66364"/>
    <w:rsid w:val="00B7778C"/>
    <w:rsid w:val="00B8765B"/>
    <w:rsid w:val="00B97DB7"/>
    <w:rsid w:val="00BA55D4"/>
    <w:rsid w:val="00BC4A63"/>
    <w:rsid w:val="00BD1A3B"/>
    <w:rsid w:val="00BF0DA7"/>
    <w:rsid w:val="00C14E9C"/>
    <w:rsid w:val="00C213FE"/>
    <w:rsid w:val="00C312C2"/>
    <w:rsid w:val="00C3632D"/>
    <w:rsid w:val="00C4619E"/>
    <w:rsid w:val="00C467C8"/>
    <w:rsid w:val="00C741D2"/>
    <w:rsid w:val="00C8311C"/>
    <w:rsid w:val="00C84884"/>
    <w:rsid w:val="00C8566C"/>
    <w:rsid w:val="00C905B3"/>
    <w:rsid w:val="00C91355"/>
    <w:rsid w:val="00CA409D"/>
    <w:rsid w:val="00CA4B31"/>
    <w:rsid w:val="00CB1BB0"/>
    <w:rsid w:val="00CC0221"/>
    <w:rsid w:val="00CC05CC"/>
    <w:rsid w:val="00CD5842"/>
    <w:rsid w:val="00CE4809"/>
    <w:rsid w:val="00CF055C"/>
    <w:rsid w:val="00D24688"/>
    <w:rsid w:val="00D53E55"/>
    <w:rsid w:val="00D622C4"/>
    <w:rsid w:val="00D62486"/>
    <w:rsid w:val="00D727F2"/>
    <w:rsid w:val="00D94341"/>
    <w:rsid w:val="00DA1D41"/>
    <w:rsid w:val="00DA26AD"/>
    <w:rsid w:val="00DC4238"/>
    <w:rsid w:val="00DF1B7A"/>
    <w:rsid w:val="00E12CAD"/>
    <w:rsid w:val="00E27301"/>
    <w:rsid w:val="00E4172D"/>
    <w:rsid w:val="00E45291"/>
    <w:rsid w:val="00E46122"/>
    <w:rsid w:val="00EA2C2C"/>
    <w:rsid w:val="00ED0C39"/>
    <w:rsid w:val="00ED31E1"/>
    <w:rsid w:val="00EE07A5"/>
    <w:rsid w:val="00EF6F64"/>
    <w:rsid w:val="00F07046"/>
    <w:rsid w:val="00F23643"/>
    <w:rsid w:val="00F40988"/>
    <w:rsid w:val="00F433F2"/>
    <w:rsid w:val="00F44285"/>
    <w:rsid w:val="00F457E8"/>
    <w:rsid w:val="00F538D1"/>
    <w:rsid w:val="00F60955"/>
    <w:rsid w:val="00F70E24"/>
    <w:rsid w:val="00F949D3"/>
    <w:rsid w:val="00FB0C80"/>
    <w:rsid w:val="00FB58A4"/>
    <w:rsid w:val="00FC22B7"/>
    <w:rsid w:val="00FC54F0"/>
    <w:rsid w:val="00FD31E6"/>
    <w:rsid w:val="00FE10A0"/>
    <w:rsid w:val="00FE5ACF"/>
    <w:rsid w:val="00FF3988"/>
    <w:rsid w:val="022178FE"/>
    <w:rsid w:val="02BC29D6"/>
    <w:rsid w:val="05511383"/>
    <w:rsid w:val="05EE034D"/>
    <w:rsid w:val="08BC35F8"/>
    <w:rsid w:val="0B2D17F5"/>
    <w:rsid w:val="0BDF3142"/>
    <w:rsid w:val="0CDB05BA"/>
    <w:rsid w:val="0D3C1E1D"/>
    <w:rsid w:val="10FB766A"/>
    <w:rsid w:val="12B565C6"/>
    <w:rsid w:val="192E3DEE"/>
    <w:rsid w:val="2CF72605"/>
    <w:rsid w:val="2D3C0A58"/>
    <w:rsid w:val="2F7470EF"/>
    <w:rsid w:val="327B69E7"/>
    <w:rsid w:val="32A25BE2"/>
    <w:rsid w:val="343249D8"/>
    <w:rsid w:val="36776016"/>
    <w:rsid w:val="37103BA1"/>
    <w:rsid w:val="379304D4"/>
    <w:rsid w:val="38AC215E"/>
    <w:rsid w:val="3A2C60EF"/>
    <w:rsid w:val="407E2488"/>
    <w:rsid w:val="407E2887"/>
    <w:rsid w:val="44A70E12"/>
    <w:rsid w:val="47FE7E85"/>
    <w:rsid w:val="4D0B408E"/>
    <w:rsid w:val="4D8C3445"/>
    <w:rsid w:val="51D97048"/>
    <w:rsid w:val="53F20BF0"/>
    <w:rsid w:val="55F222C9"/>
    <w:rsid w:val="5859140A"/>
    <w:rsid w:val="58D82790"/>
    <w:rsid w:val="59592D2E"/>
    <w:rsid w:val="59956A9C"/>
    <w:rsid w:val="5CD728E8"/>
    <w:rsid w:val="5CFA65D6"/>
    <w:rsid w:val="633906F6"/>
    <w:rsid w:val="636D4064"/>
    <w:rsid w:val="63847DCA"/>
    <w:rsid w:val="63E80D0A"/>
    <w:rsid w:val="64A55ED4"/>
    <w:rsid w:val="74952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Closing"/>
    <w:basedOn w:val="1"/>
    <w:autoRedefine/>
    <w:qFormat/>
    <w:uiPriority w:val="0"/>
    <w:pPr>
      <w:ind w:left="100" w:leftChars="2100"/>
    </w:pPr>
    <w:rPr>
      <w:sz w:val="28"/>
      <w:szCs w:val="20"/>
    </w:rPr>
  </w:style>
  <w:style w:type="paragraph" w:styleId="3">
    <w:name w:val="Body Text"/>
    <w:basedOn w:val="1"/>
    <w:qFormat/>
    <w:uiPriority w:val="0"/>
    <w:rPr>
      <w:sz w:val="28"/>
      <w:szCs w:val="20"/>
    </w:rPr>
  </w:style>
  <w:style w:type="paragraph" w:styleId="4">
    <w:name w:val="Body Text Indent"/>
    <w:basedOn w:val="1"/>
    <w:autoRedefine/>
    <w:qFormat/>
    <w:uiPriority w:val="0"/>
    <w:pPr>
      <w:adjustRightInd w:val="0"/>
      <w:snapToGrid w:val="0"/>
      <w:spacing w:line="540" w:lineRule="atLeast"/>
      <w:ind w:firstLine="717" w:firstLineChars="236"/>
    </w:pPr>
    <w:rPr>
      <w:spacing w:val="12"/>
      <w:sz w:val="28"/>
    </w:rPr>
  </w:style>
  <w:style w:type="paragraph" w:styleId="5">
    <w:name w:val="Body Text Indent 2"/>
    <w:basedOn w:val="1"/>
    <w:qFormat/>
    <w:uiPriority w:val="0"/>
    <w:pPr>
      <w:adjustRightInd w:val="0"/>
      <w:snapToGrid w:val="0"/>
      <w:spacing w:line="540" w:lineRule="atLeast"/>
      <w:ind w:firstLine="608" w:firstLineChars="200"/>
    </w:pPr>
    <w:rPr>
      <w:spacing w:val="12"/>
      <w:sz w:val="28"/>
    </w:rPr>
  </w:style>
  <w:style w:type="paragraph" w:styleId="6">
    <w:name w:val="footer"/>
    <w:basedOn w:val="1"/>
    <w:link w:val="31"/>
    <w:autoRedefine/>
    <w:qFormat/>
    <w:uiPriority w:val="99"/>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500" w:lineRule="exact"/>
      <w:ind w:left="538" w:leftChars="256" w:firstLine="17" w:firstLineChars="6"/>
    </w:pPr>
    <w:rPr>
      <w:rFonts w:ascii="宋体" w:hAnsi="宋体"/>
      <w:sz w:val="28"/>
    </w:rPr>
  </w:style>
  <w:style w:type="character" w:styleId="11">
    <w:name w:val="page number"/>
    <w:basedOn w:val="10"/>
    <w:autoRedefine/>
    <w:qFormat/>
    <w:uiPriority w:val="0"/>
  </w:style>
  <w:style w:type="character" w:styleId="12">
    <w:name w:val="Hyperlink"/>
    <w:autoRedefine/>
    <w:qFormat/>
    <w:uiPriority w:val="0"/>
    <w:rPr>
      <w:color w:val="0000FF"/>
      <w:u w:val="single"/>
    </w:rPr>
  </w:style>
  <w:style w:type="paragraph" w:customStyle="1" w:styleId="13">
    <w:name w:val="font6"/>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
    <w:name w:val="xl22"/>
    <w:basedOn w:val="1"/>
    <w:autoRedefine/>
    <w:qFormat/>
    <w:uiPriority w:val="0"/>
    <w:pPr>
      <w:widowControl/>
      <w:shd w:val="clear" w:color="auto" w:fill="FFFFFF"/>
      <w:spacing w:before="100" w:beforeAutospacing="1" w:after="100" w:afterAutospacing="1"/>
      <w:jc w:val="right"/>
      <w:textAlignment w:val="center"/>
    </w:pPr>
    <w:rPr>
      <w:rFonts w:ascii="宋体" w:hAnsi="宋体"/>
      <w:kern w:val="0"/>
      <w:sz w:val="24"/>
    </w:rPr>
  </w:style>
  <w:style w:type="paragraph" w:customStyle="1" w:styleId="15">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b/>
      <w:bCs/>
      <w:kern w:val="0"/>
      <w:sz w:val="24"/>
    </w:rPr>
  </w:style>
  <w:style w:type="paragraph" w:customStyle="1" w:styleId="16">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b/>
      <w:bCs/>
      <w:kern w:val="0"/>
      <w:sz w:val="24"/>
    </w:rPr>
  </w:style>
  <w:style w:type="paragraph" w:customStyle="1" w:styleId="17">
    <w:name w:val="font5"/>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18">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
    <w:name w:val="xl35"/>
    <w:basedOn w:val="1"/>
    <w:autoRedefine/>
    <w:qFormat/>
    <w:uiPriority w:val="0"/>
    <w:pPr>
      <w:widowControl/>
      <w:spacing w:before="100" w:beforeAutospacing="1" w:after="100" w:afterAutospacing="1"/>
      <w:jc w:val="center"/>
      <w:textAlignment w:val="center"/>
    </w:pPr>
    <w:rPr>
      <w:rFonts w:ascii="宋体" w:hAnsi="宋体"/>
      <w:kern w:val="0"/>
      <w:sz w:val="32"/>
      <w:szCs w:val="32"/>
    </w:rPr>
  </w:style>
  <w:style w:type="paragraph" w:customStyle="1" w:styleId="20">
    <w:name w:val="xl32"/>
    <w:basedOn w:val="1"/>
    <w:autoRedefine/>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1">
    <w:name w:val="正文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22">
    <w:name w:val="xl33"/>
    <w:basedOn w:val="1"/>
    <w:autoRedefine/>
    <w:qFormat/>
    <w:uiPriority w:val="0"/>
    <w:pPr>
      <w:widowControl/>
      <w:pBdr>
        <w:bottom w:val="single" w:color="auto" w:sz="4" w:space="0"/>
      </w:pBdr>
      <w:spacing w:before="100" w:beforeAutospacing="1" w:after="100" w:afterAutospacing="1"/>
      <w:jc w:val="left"/>
      <w:textAlignment w:val="center"/>
    </w:pPr>
    <w:rPr>
      <w:rFonts w:ascii="宋体" w:hAnsi="宋体"/>
      <w:kern w:val="0"/>
      <w:sz w:val="24"/>
    </w:rPr>
  </w:style>
  <w:style w:type="paragraph" w:customStyle="1" w:styleId="23">
    <w:name w:val="xl28"/>
    <w:basedOn w:val="1"/>
    <w:autoRedefine/>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24">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25">
    <w:name w:val="font0"/>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26">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27">
    <w:name w:val="xl23"/>
    <w:basedOn w:val="1"/>
    <w:autoRedefine/>
    <w:qFormat/>
    <w:uiPriority w:val="0"/>
    <w:pPr>
      <w:widowControl/>
      <w:shd w:val="clear" w:color="auto" w:fill="FFFFFF"/>
      <w:spacing w:before="100" w:beforeAutospacing="1" w:after="100" w:afterAutospacing="1"/>
      <w:jc w:val="center"/>
      <w:textAlignment w:val="center"/>
    </w:pPr>
    <w:rPr>
      <w:rFonts w:ascii="宋体" w:hAnsi="宋体"/>
      <w:kern w:val="0"/>
      <w:sz w:val="24"/>
    </w:rPr>
  </w:style>
  <w:style w:type="paragraph" w:customStyle="1" w:styleId="28">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29">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0">
    <w:name w:val="xl34"/>
    <w:basedOn w:val="1"/>
    <w:autoRedefine/>
    <w:qFormat/>
    <w:uiPriority w:val="0"/>
    <w:pPr>
      <w:widowControl/>
      <w:pBdr>
        <w:bottom w:val="single" w:color="auto" w:sz="4" w:space="0"/>
      </w:pBdr>
      <w:spacing w:before="100" w:beforeAutospacing="1" w:after="100" w:afterAutospacing="1"/>
      <w:jc w:val="left"/>
      <w:textAlignment w:val="center"/>
    </w:pPr>
    <w:rPr>
      <w:rFonts w:ascii="宋体" w:hAnsi="宋体"/>
      <w:kern w:val="0"/>
      <w:sz w:val="24"/>
    </w:rPr>
  </w:style>
  <w:style w:type="character" w:customStyle="1" w:styleId="31">
    <w:name w:val="页脚 Char"/>
    <w:basedOn w:val="10"/>
    <w:link w:val="6"/>
    <w:autoRedefine/>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6</Pages>
  <Words>1717</Words>
  <Characters>1971</Characters>
  <Lines>21</Lines>
  <Paragraphs>6</Paragraphs>
  <TotalTime>2</TotalTime>
  <ScaleCrop>false</ScaleCrop>
  <LinksUpToDate>false</LinksUpToDate>
  <CharactersWithSpaces>2704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2020-09-29T06:46:00Z</dcterms:created>
  <dc:creator>赵天鹏(13001863005)</dc:creator>
  <cp:lastModifiedBy>zl</cp:lastModifiedBy>
  <cp:lastPrinted>2011-08-04T06:24:00Z</cp:lastPrinted>
  <dcterms:modified xsi:type="dcterms:W3CDTF">2024-02-20T03:15:29Z</dcterms:modified>
  <dc:title>萍钢老区高炉喷煤项目招标公告</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18BB6D4406094EDE80C6BA1D1A1547FC_13</vt:lpwstr>
  </property>
</Properties>
</file>