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440" w:lineRule="exact"/>
        <w:jc w:val="center"/>
        <w:rPr>
          <w:rFonts w:ascii="仿宋" w:hAnsi="仿宋" w:eastAsia="仿宋"/>
          <w:b/>
          <w:sz w:val="28"/>
          <w:szCs w:val="44"/>
        </w:rPr>
      </w:pPr>
    </w:p>
    <w:p>
      <w:pPr>
        <w:spacing w:line="440" w:lineRule="exact"/>
        <w:jc w:val="center"/>
        <w:rPr>
          <w:rFonts w:ascii="仿宋" w:hAnsi="仿宋" w:eastAsia="仿宋"/>
          <w:b w:val="0"/>
          <w:bCs w:val="0"/>
          <w:color w:val="auto"/>
          <w:sz w:val="32"/>
          <w:szCs w:val="32"/>
        </w:rPr>
      </w:pPr>
      <w:r>
        <w:rPr>
          <w:rFonts w:hint="eastAsia" w:ascii="仿宋" w:hAnsi="仿宋" w:eastAsia="仿宋"/>
          <w:szCs w:val="21"/>
        </w:rPr>
        <w:t xml:space="preserve">                                       </w:t>
      </w:r>
      <w:r>
        <w:rPr>
          <w:rFonts w:hint="eastAsia" w:ascii="仿宋" w:hAnsi="仿宋" w:eastAsia="仿宋"/>
          <w:b w:val="0"/>
          <w:bCs w:val="0"/>
          <w:color w:val="auto"/>
          <w:szCs w:val="21"/>
        </w:rPr>
        <w:t xml:space="preserve">   </w:t>
      </w:r>
      <w:r>
        <w:rPr>
          <w:rFonts w:hint="eastAsia" w:ascii="仿宋" w:hAnsi="仿宋" w:eastAsia="仿宋"/>
          <w:b w:val="0"/>
          <w:bCs w:val="0"/>
          <w:color w:val="auto"/>
          <w:sz w:val="32"/>
          <w:szCs w:val="32"/>
        </w:rPr>
        <w:t>业务编号：ZB/SC202</w:t>
      </w:r>
      <w:r>
        <w:rPr>
          <w:rFonts w:hint="eastAsia" w:ascii="仿宋" w:hAnsi="仿宋" w:eastAsia="仿宋"/>
          <w:b w:val="0"/>
          <w:bCs w:val="0"/>
          <w:color w:val="auto"/>
          <w:sz w:val="32"/>
          <w:szCs w:val="32"/>
          <w:lang w:val="en-US" w:eastAsia="zh-CN"/>
        </w:rPr>
        <w:t>2</w:t>
      </w:r>
      <w:r>
        <w:rPr>
          <w:rFonts w:hint="eastAsia" w:ascii="仿宋" w:hAnsi="仿宋" w:eastAsia="仿宋"/>
          <w:b w:val="0"/>
          <w:bCs w:val="0"/>
          <w:color w:val="auto"/>
          <w:sz w:val="32"/>
          <w:szCs w:val="32"/>
        </w:rPr>
        <w:t>-R</w:t>
      </w:r>
      <w:r>
        <w:rPr>
          <w:rFonts w:hint="eastAsia" w:ascii="仿宋" w:hAnsi="仿宋" w:eastAsia="仿宋"/>
          <w:b w:val="0"/>
          <w:bCs w:val="0"/>
          <w:color w:val="auto"/>
          <w:sz w:val="32"/>
          <w:szCs w:val="32"/>
          <w:lang w:val="en-US" w:eastAsia="zh-CN"/>
        </w:rPr>
        <w:t>G186</w:t>
      </w:r>
      <w:r>
        <w:rPr>
          <w:rFonts w:hint="eastAsia" w:ascii="仿宋" w:hAnsi="仿宋" w:eastAsia="仿宋"/>
          <w:b w:val="0"/>
          <w:bCs w:val="0"/>
          <w:color w:val="auto"/>
          <w:sz w:val="32"/>
          <w:szCs w:val="32"/>
        </w:rPr>
        <w:t xml:space="preserve">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一、招标项目内容、技术要求、计划招标时间等</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（一）招标项目名称：</w:t>
      </w:r>
      <w:r>
        <w:rPr>
          <w:rFonts w:hint="eastAsia" w:ascii="仿宋" w:hAnsi="仿宋" w:eastAsia="仿宋" w:cs="仿宋_GB2312"/>
          <w:b w:val="0"/>
          <w:bCs w:val="0"/>
          <w:color w:val="auto"/>
          <w:kern w:val="0"/>
          <w:sz w:val="32"/>
          <w:szCs w:val="32"/>
          <w:lang w:eastAsia="zh-CN"/>
        </w:rPr>
        <w:t>网络安全设备</w:t>
      </w:r>
      <w:r>
        <w:rPr>
          <w:rFonts w:hint="eastAsia" w:ascii="仿宋" w:hAnsi="仿宋" w:eastAsia="仿宋" w:cs="仿宋_GB2312"/>
          <w:b w:val="0"/>
          <w:bCs w:val="0"/>
          <w:color w:val="auto"/>
          <w:kern w:val="0"/>
          <w:sz w:val="32"/>
          <w:szCs w:val="32"/>
        </w:rPr>
        <w:t>采购</w:t>
      </w:r>
    </w:p>
    <w:p>
      <w:pPr>
        <w:spacing w:line="440" w:lineRule="exact"/>
        <w:ind w:firstLine="640" w:firstLineChars="200"/>
        <w:rPr>
          <w:rFonts w:hint="eastAsia" w:ascii="仿宋" w:hAnsi="仿宋" w:eastAsia="仿宋" w:cs="仿宋_GB2312"/>
          <w:b w:val="0"/>
          <w:bCs w:val="0"/>
          <w:color w:val="auto"/>
          <w:kern w:val="0"/>
          <w:sz w:val="32"/>
          <w:szCs w:val="32"/>
          <w:lang w:val="en-US" w:eastAsia="zh-CN"/>
        </w:rPr>
      </w:pPr>
      <w:r>
        <w:rPr>
          <w:rFonts w:hint="eastAsia" w:ascii="仿宋" w:hAnsi="仿宋" w:eastAsia="仿宋" w:cs="仿宋_GB2312"/>
          <w:b w:val="0"/>
          <w:bCs w:val="0"/>
          <w:color w:val="auto"/>
          <w:kern w:val="0"/>
          <w:sz w:val="32"/>
          <w:szCs w:val="32"/>
        </w:rPr>
        <w:t>（二）招标采购数量：</w:t>
      </w:r>
      <w:r>
        <w:rPr>
          <w:rFonts w:hint="eastAsia" w:ascii="仿宋" w:hAnsi="仿宋" w:eastAsia="仿宋" w:cs="仿宋_GB2312"/>
          <w:b w:val="0"/>
          <w:bCs w:val="0"/>
          <w:color w:val="auto"/>
          <w:kern w:val="0"/>
          <w:sz w:val="32"/>
          <w:szCs w:val="32"/>
          <w:lang w:val="en-US" w:eastAsia="zh-CN"/>
        </w:rPr>
        <w:t>1套</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（三）技术要求：</w:t>
      </w:r>
      <w:r>
        <w:rPr>
          <w:rFonts w:hint="eastAsia" w:ascii="仿宋" w:hAnsi="仿宋" w:eastAsia="仿宋" w:cs="仿宋_GB2312"/>
          <w:b w:val="0"/>
          <w:bCs w:val="0"/>
          <w:color w:val="auto"/>
          <w:kern w:val="0"/>
          <w:sz w:val="32"/>
          <w:szCs w:val="32"/>
          <w:lang w:eastAsia="zh-CN"/>
        </w:rPr>
        <w:t>详见</w:t>
      </w:r>
      <w:r>
        <w:rPr>
          <w:rFonts w:hint="eastAsia" w:ascii="仿宋" w:hAnsi="仿宋" w:eastAsia="仿宋" w:cs="仿宋"/>
          <w:b w:val="0"/>
          <w:bCs w:val="0"/>
          <w:color w:val="auto"/>
          <w:sz w:val="30"/>
          <w:szCs w:val="30"/>
          <w:lang w:eastAsia="zh-CN"/>
        </w:rPr>
        <w:t>《</w:t>
      </w:r>
      <w:r>
        <w:rPr>
          <w:rFonts w:hint="eastAsia" w:ascii="仿宋" w:hAnsi="仿宋" w:eastAsia="仿宋" w:cs="仿宋_GB2312"/>
          <w:b w:val="0"/>
          <w:bCs w:val="0"/>
          <w:color w:val="auto"/>
          <w:kern w:val="0"/>
          <w:sz w:val="32"/>
          <w:szCs w:val="32"/>
          <w:lang w:eastAsia="zh-CN"/>
        </w:rPr>
        <w:t>网络安全设备技术参数要求</w:t>
      </w:r>
      <w:r>
        <w:rPr>
          <w:rFonts w:hint="eastAsia" w:ascii="仿宋" w:hAnsi="仿宋" w:eastAsia="仿宋" w:cs="仿宋"/>
          <w:b w:val="0"/>
          <w:bCs w:val="0"/>
          <w:color w:val="auto"/>
          <w:sz w:val="30"/>
          <w:szCs w:val="30"/>
          <w:lang w:eastAsia="zh-CN"/>
        </w:rPr>
        <w:t>》</w:t>
      </w:r>
      <w:r>
        <w:rPr>
          <w:rFonts w:hint="eastAsia" w:ascii="仿宋" w:hAnsi="仿宋" w:eastAsia="仿宋" w:cs="仿宋_GB2312"/>
          <w:b w:val="0"/>
          <w:bCs w:val="0"/>
          <w:color w:val="auto"/>
          <w:kern w:val="0"/>
          <w:sz w:val="32"/>
          <w:szCs w:val="32"/>
          <w:lang w:eastAsia="zh-CN"/>
        </w:rPr>
        <w:t>，并</w:t>
      </w:r>
      <w:r>
        <w:rPr>
          <w:rFonts w:hint="eastAsia" w:ascii="仿宋" w:hAnsi="仿宋" w:eastAsia="仿宋" w:cs="仿宋_GB2312"/>
          <w:b w:val="0"/>
          <w:bCs w:val="0"/>
          <w:color w:val="auto"/>
          <w:kern w:val="0"/>
          <w:sz w:val="32"/>
          <w:szCs w:val="32"/>
        </w:rPr>
        <w:t>符合国家、行业最新标准规范，满足需方现场要求。</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（四）计划招标时间：202</w:t>
      </w:r>
      <w:r>
        <w:rPr>
          <w:rFonts w:hint="eastAsia" w:ascii="仿宋" w:hAnsi="仿宋" w:eastAsia="仿宋" w:cs="仿宋_GB2312"/>
          <w:b w:val="0"/>
          <w:bCs w:val="0"/>
          <w:color w:val="auto"/>
          <w:kern w:val="0"/>
          <w:sz w:val="32"/>
          <w:szCs w:val="32"/>
          <w:lang w:val="en-US" w:eastAsia="zh-CN"/>
        </w:rPr>
        <w:t>2</w:t>
      </w:r>
      <w:r>
        <w:rPr>
          <w:rFonts w:hint="eastAsia" w:ascii="仿宋" w:hAnsi="仿宋" w:eastAsia="仿宋" w:cs="仿宋_GB2312"/>
          <w:b w:val="0"/>
          <w:bCs w:val="0"/>
          <w:color w:val="auto"/>
          <w:kern w:val="0"/>
          <w:sz w:val="32"/>
          <w:szCs w:val="32"/>
        </w:rPr>
        <w:t>年</w:t>
      </w:r>
      <w:r>
        <w:rPr>
          <w:rFonts w:hint="eastAsia" w:ascii="仿宋" w:hAnsi="仿宋" w:eastAsia="仿宋" w:cs="仿宋_GB2312"/>
          <w:b w:val="0"/>
          <w:bCs w:val="0"/>
          <w:color w:val="auto"/>
          <w:kern w:val="0"/>
          <w:sz w:val="32"/>
          <w:szCs w:val="32"/>
          <w:lang w:val="en-US" w:eastAsia="zh-CN"/>
        </w:rPr>
        <w:t>7</w:t>
      </w:r>
      <w:r>
        <w:rPr>
          <w:rFonts w:hint="eastAsia" w:ascii="仿宋" w:hAnsi="仿宋" w:eastAsia="仿宋" w:cs="仿宋_GB2312"/>
          <w:b w:val="0"/>
          <w:bCs w:val="0"/>
          <w:color w:val="auto"/>
          <w:kern w:val="0"/>
          <w:sz w:val="32"/>
          <w:szCs w:val="32"/>
        </w:rPr>
        <w:t>月</w:t>
      </w:r>
      <w:r>
        <w:rPr>
          <w:rFonts w:hint="eastAsia" w:ascii="仿宋" w:hAnsi="仿宋" w:eastAsia="仿宋" w:cs="仿宋_GB2312"/>
          <w:b w:val="0"/>
          <w:bCs w:val="0"/>
          <w:color w:val="auto"/>
          <w:kern w:val="0"/>
          <w:sz w:val="32"/>
          <w:szCs w:val="32"/>
          <w:lang w:eastAsia="zh-CN"/>
        </w:rPr>
        <w:t>上</w:t>
      </w:r>
      <w:r>
        <w:rPr>
          <w:rFonts w:hint="eastAsia" w:ascii="仿宋" w:hAnsi="仿宋" w:eastAsia="仿宋" w:cs="仿宋_GB2312"/>
          <w:b w:val="0"/>
          <w:bCs w:val="0"/>
          <w:color w:val="auto"/>
          <w:kern w:val="0"/>
          <w:sz w:val="32"/>
          <w:szCs w:val="32"/>
        </w:rPr>
        <w:t>旬（具体以招标说明书为准）</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（五）报名截止时间：202</w:t>
      </w:r>
      <w:r>
        <w:rPr>
          <w:rFonts w:hint="eastAsia" w:ascii="仿宋" w:hAnsi="仿宋" w:eastAsia="仿宋" w:cs="仿宋_GB2312"/>
          <w:b w:val="0"/>
          <w:bCs w:val="0"/>
          <w:color w:val="auto"/>
          <w:kern w:val="0"/>
          <w:sz w:val="32"/>
          <w:szCs w:val="32"/>
          <w:lang w:val="en-US" w:eastAsia="zh-CN"/>
        </w:rPr>
        <w:t>2</w:t>
      </w:r>
      <w:r>
        <w:rPr>
          <w:rFonts w:hint="eastAsia" w:ascii="仿宋" w:hAnsi="仿宋" w:eastAsia="仿宋" w:cs="仿宋_GB2312"/>
          <w:b w:val="0"/>
          <w:bCs w:val="0"/>
          <w:color w:val="auto"/>
          <w:kern w:val="0"/>
          <w:sz w:val="32"/>
          <w:szCs w:val="32"/>
        </w:rPr>
        <w:t>年</w:t>
      </w:r>
      <w:r>
        <w:rPr>
          <w:rFonts w:hint="eastAsia" w:ascii="仿宋" w:hAnsi="仿宋" w:eastAsia="仿宋" w:cs="仿宋_GB2312"/>
          <w:b w:val="0"/>
          <w:bCs w:val="0"/>
          <w:color w:val="auto"/>
          <w:kern w:val="0"/>
          <w:sz w:val="32"/>
          <w:szCs w:val="32"/>
          <w:lang w:val="en-US" w:eastAsia="zh-CN"/>
        </w:rPr>
        <w:t>6</w:t>
      </w:r>
      <w:r>
        <w:rPr>
          <w:rFonts w:hint="eastAsia" w:ascii="仿宋" w:hAnsi="仿宋" w:eastAsia="仿宋" w:cs="仿宋_GB2312"/>
          <w:b w:val="0"/>
          <w:bCs w:val="0"/>
          <w:color w:val="auto"/>
          <w:kern w:val="0"/>
          <w:sz w:val="32"/>
          <w:szCs w:val="32"/>
        </w:rPr>
        <w:t>月</w:t>
      </w:r>
      <w:r>
        <w:rPr>
          <w:rFonts w:hint="eastAsia" w:ascii="仿宋" w:hAnsi="仿宋" w:eastAsia="仿宋" w:cs="仿宋_GB2312"/>
          <w:b w:val="0"/>
          <w:bCs w:val="0"/>
          <w:color w:val="auto"/>
          <w:kern w:val="0"/>
          <w:sz w:val="32"/>
          <w:szCs w:val="32"/>
          <w:lang w:val="en-US" w:eastAsia="zh-CN"/>
        </w:rPr>
        <w:t>28</w:t>
      </w:r>
      <w:r>
        <w:rPr>
          <w:rFonts w:hint="eastAsia" w:ascii="仿宋" w:hAnsi="仿宋" w:eastAsia="仿宋" w:cs="仿宋_GB2312"/>
          <w:b w:val="0"/>
          <w:bCs w:val="0"/>
          <w:color w:val="auto"/>
          <w:kern w:val="0"/>
          <w:sz w:val="32"/>
          <w:szCs w:val="32"/>
        </w:rPr>
        <w:t>日</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（六）其他：无</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二、对投标单位的资质要求：</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（一）具有独立法人资格或其他组织的中间商（成立一年以上）。</w:t>
      </w:r>
    </w:p>
    <w:p>
      <w:pPr>
        <w:spacing w:line="440" w:lineRule="exact"/>
        <w:ind w:firstLine="640" w:firstLineChars="200"/>
        <w:rPr>
          <w:rFonts w:hint="eastAsia"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（二）具有独立法人资格或其他组织的生产厂家。</w:t>
      </w:r>
    </w:p>
    <w:p>
      <w:pPr>
        <w:spacing w:line="440" w:lineRule="exact"/>
        <w:ind w:firstLine="640" w:firstLineChars="200"/>
        <w:rPr>
          <w:rFonts w:hint="eastAsia" w:ascii="仿宋" w:hAnsi="仿宋" w:eastAsia="仿宋" w:cs="仿宋"/>
          <w:b w:val="0"/>
          <w:bCs w:val="0"/>
          <w:color w:val="auto"/>
          <w:kern w:val="2"/>
          <w:sz w:val="30"/>
          <w:szCs w:val="30"/>
          <w:lang w:val="en-US" w:eastAsia="zh-CN"/>
        </w:rPr>
      </w:pPr>
      <w:r>
        <w:rPr>
          <w:rFonts w:hint="eastAsia" w:ascii="仿宋" w:hAnsi="仿宋" w:eastAsia="仿宋" w:cs="仿宋_GB2312"/>
          <w:b w:val="0"/>
          <w:bCs w:val="0"/>
          <w:color w:val="auto"/>
          <w:kern w:val="0"/>
          <w:sz w:val="32"/>
          <w:szCs w:val="32"/>
        </w:rPr>
        <w:t>（</w:t>
      </w:r>
      <w:r>
        <w:rPr>
          <w:rFonts w:hint="eastAsia" w:ascii="仿宋" w:hAnsi="仿宋" w:eastAsia="仿宋" w:cs="仿宋_GB2312"/>
          <w:b w:val="0"/>
          <w:bCs w:val="0"/>
          <w:color w:val="auto"/>
          <w:kern w:val="0"/>
          <w:sz w:val="32"/>
          <w:szCs w:val="32"/>
          <w:lang w:eastAsia="zh-CN"/>
        </w:rPr>
        <w:t>三</w:t>
      </w:r>
      <w:r>
        <w:rPr>
          <w:rFonts w:hint="eastAsia" w:ascii="仿宋" w:hAnsi="仿宋" w:eastAsia="仿宋" w:cs="仿宋_GB2312"/>
          <w:b w:val="0"/>
          <w:bCs w:val="0"/>
          <w:color w:val="auto"/>
          <w:kern w:val="0"/>
          <w:sz w:val="32"/>
          <w:szCs w:val="32"/>
        </w:rPr>
        <w:t>）</w:t>
      </w:r>
      <w:r>
        <w:rPr>
          <w:rFonts w:hint="eastAsia" w:ascii="仿宋" w:hAnsi="仿宋" w:eastAsia="仿宋" w:cs="仿宋"/>
          <w:b w:val="0"/>
          <w:bCs w:val="0"/>
          <w:color w:val="auto"/>
          <w:kern w:val="2"/>
          <w:sz w:val="30"/>
          <w:szCs w:val="30"/>
          <w:lang w:eastAsia="zh-CN"/>
        </w:rPr>
        <w:t>需提供原厂项目授权书及售后服务承诺函</w:t>
      </w:r>
      <w:r>
        <w:rPr>
          <w:rFonts w:hint="eastAsia" w:ascii="仿宋" w:hAnsi="仿宋" w:eastAsia="仿宋" w:cs="仿宋"/>
          <w:b w:val="0"/>
          <w:bCs w:val="0"/>
          <w:color w:val="auto"/>
          <w:kern w:val="2"/>
          <w:sz w:val="30"/>
          <w:szCs w:val="30"/>
          <w:lang w:val="en-US" w:eastAsia="zh-CN"/>
        </w:rPr>
        <w:t>。</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三、拟签订合同主要条款</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（二）交货必须附产品合格证，持入库凭证到萍乡萍钢安源钢铁有限公司</w:t>
      </w:r>
      <w:r>
        <w:rPr>
          <w:rFonts w:hint="eastAsia" w:ascii="仿宋" w:hAnsi="仿宋" w:eastAsia="仿宋" w:cs="仿宋_GB2312"/>
          <w:b w:val="0"/>
          <w:bCs w:val="0"/>
          <w:color w:val="auto"/>
          <w:kern w:val="0"/>
          <w:sz w:val="32"/>
          <w:szCs w:val="32"/>
          <w:lang w:eastAsia="zh-CN"/>
        </w:rPr>
        <w:t>安源</w:t>
      </w:r>
      <w:r>
        <w:rPr>
          <w:rFonts w:hint="eastAsia" w:ascii="仿宋" w:hAnsi="仿宋" w:eastAsia="仿宋" w:cs="仿宋_GB2312"/>
          <w:b w:val="0"/>
          <w:bCs w:val="0"/>
          <w:color w:val="auto"/>
          <w:kern w:val="0"/>
          <w:sz w:val="32"/>
          <w:szCs w:val="32"/>
        </w:rPr>
        <w:t>片物资仓库验收。</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四、意向投标人提交的资格证明文件</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（一）资质材料：</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1.营业执照副本复印件、开户许可证复印件，如有生产许可证、体系认证证书、特种设备制造许可证等一并附上。</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2.法定代表人和代理人身份证复印件及法定代表人授权委托书（授权书必须有法人章或签字及加盖公章）、承诺书。</w:t>
      </w:r>
    </w:p>
    <w:p>
      <w:pPr>
        <w:spacing w:line="440" w:lineRule="exact"/>
        <w:ind w:firstLine="640" w:firstLineChars="200"/>
        <w:rPr>
          <w:rFonts w:hint="eastAsia"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lang w:val="en-US" w:eastAsia="zh-CN"/>
        </w:rPr>
        <w:t>3</w:t>
      </w:r>
      <w:r>
        <w:rPr>
          <w:rFonts w:hint="eastAsia" w:ascii="仿宋" w:hAnsi="仿宋" w:eastAsia="仿宋" w:cs="仿宋_GB2312"/>
          <w:b w:val="0"/>
          <w:bCs w:val="0"/>
          <w:color w:val="auto"/>
          <w:kern w:val="0"/>
          <w:sz w:val="32"/>
          <w:szCs w:val="32"/>
        </w:rPr>
        <w:t>.投标单位开票信息。</w:t>
      </w:r>
    </w:p>
    <w:p>
      <w:pPr>
        <w:spacing w:line="440" w:lineRule="exact"/>
        <w:ind w:firstLine="640" w:firstLineChars="200"/>
        <w:rPr>
          <w:rFonts w:hint="default" w:ascii="仿宋" w:hAnsi="仿宋" w:eastAsia="仿宋" w:cs="仿宋_GB2312"/>
          <w:b w:val="0"/>
          <w:bCs w:val="0"/>
          <w:color w:val="auto"/>
          <w:kern w:val="0"/>
          <w:sz w:val="32"/>
          <w:szCs w:val="32"/>
          <w:lang w:val="en-US" w:eastAsia="zh-CN"/>
        </w:rPr>
      </w:pPr>
      <w:r>
        <w:rPr>
          <w:rFonts w:hint="eastAsia" w:ascii="仿宋" w:hAnsi="仿宋" w:eastAsia="仿宋" w:cs="仿宋_GB2312"/>
          <w:b w:val="0"/>
          <w:bCs w:val="0"/>
          <w:color w:val="auto"/>
          <w:kern w:val="0"/>
          <w:sz w:val="32"/>
          <w:szCs w:val="32"/>
          <w:lang w:val="en-US" w:eastAsia="zh-CN"/>
        </w:rPr>
        <w:t>4.</w:t>
      </w:r>
      <w:r>
        <w:rPr>
          <w:rFonts w:hint="eastAsia" w:ascii="仿宋" w:hAnsi="仿宋" w:eastAsia="仿宋" w:cs="仿宋"/>
          <w:b w:val="0"/>
          <w:bCs w:val="0"/>
          <w:color w:val="auto"/>
          <w:kern w:val="2"/>
          <w:sz w:val="30"/>
          <w:szCs w:val="30"/>
          <w:lang w:eastAsia="zh-CN"/>
        </w:rPr>
        <w:t>原厂项目授权书及售后服务承诺函</w:t>
      </w:r>
      <w:r>
        <w:rPr>
          <w:rFonts w:hint="eastAsia" w:ascii="仿宋" w:hAnsi="仿宋" w:eastAsia="仿宋" w:cs="仿宋"/>
          <w:b w:val="0"/>
          <w:bCs w:val="0"/>
          <w:color w:val="auto"/>
          <w:kern w:val="2"/>
          <w:sz w:val="30"/>
          <w:szCs w:val="30"/>
          <w:lang w:val="en-US" w:eastAsia="zh-CN"/>
        </w:rPr>
        <w:t>。</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 xml:space="preserve">上述资料需加盖报名单位公章。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提交方式：发送邮件至agqhb@pxsteel.com，发邮件时请注明邮件主题名称：XXXX公司报名</w:t>
      </w:r>
      <w:r>
        <w:rPr>
          <w:rFonts w:hint="eastAsia" w:ascii="仿宋" w:hAnsi="仿宋" w:eastAsia="仿宋" w:cs="仿宋_GB2312"/>
          <w:b w:val="0"/>
          <w:bCs w:val="0"/>
          <w:color w:val="auto"/>
          <w:kern w:val="0"/>
          <w:sz w:val="32"/>
          <w:szCs w:val="32"/>
          <w:lang w:eastAsia="zh-CN"/>
        </w:rPr>
        <w:t>网络安全设备</w:t>
      </w:r>
      <w:r>
        <w:rPr>
          <w:rFonts w:hint="eastAsia" w:ascii="仿宋" w:hAnsi="仿宋" w:eastAsia="仿宋" w:cs="仿宋_GB2312"/>
          <w:b w:val="0"/>
          <w:bCs w:val="0"/>
          <w:color w:val="auto"/>
          <w:kern w:val="0"/>
          <w:sz w:val="32"/>
          <w:szCs w:val="32"/>
        </w:rPr>
        <w:t>采购项目招标资质文件。网上报名如不按此要求发送邮件，招标方对邮件遗失所造成的后果不负任何责任。</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五、投标方式</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b w:val="0"/>
          <w:bCs w:val="0"/>
          <w:color w:val="auto"/>
          <w:kern w:val="0"/>
          <w:sz w:val="32"/>
          <w:szCs w:val="32"/>
          <w:lang w:val="en-US" w:eastAsia="zh-CN"/>
        </w:rPr>
        <w:t>3</w:t>
      </w:r>
      <w:r>
        <w:rPr>
          <w:rFonts w:hint="eastAsia" w:ascii="仿宋" w:hAnsi="仿宋" w:eastAsia="仿宋" w:cs="仿宋_GB2312"/>
          <w:b w:val="0"/>
          <w:bCs w:val="0"/>
          <w:color w:val="auto"/>
          <w:kern w:val="0"/>
          <w:sz w:val="32"/>
          <w:szCs w:val="32"/>
        </w:rPr>
        <w:t>0000元）、投标报名费（</w:t>
      </w:r>
      <w:r>
        <w:rPr>
          <w:rFonts w:hint="eastAsia" w:ascii="仿宋" w:hAnsi="仿宋" w:eastAsia="仿宋" w:cs="仿宋_GB2312"/>
          <w:b w:val="0"/>
          <w:bCs w:val="0"/>
          <w:color w:val="auto"/>
          <w:kern w:val="0"/>
          <w:sz w:val="32"/>
          <w:szCs w:val="32"/>
          <w:lang w:val="en-US" w:eastAsia="zh-CN"/>
        </w:rPr>
        <w:t>5</w:t>
      </w:r>
      <w:r>
        <w:rPr>
          <w:rFonts w:hint="eastAsia" w:ascii="仿宋" w:hAnsi="仿宋" w:eastAsia="仿宋" w:cs="仿宋_GB2312"/>
          <w:b w:val="0"/>
          <w:bCs w:val="0"/>
          <w:color w:val="auto"/>
          <w:kern w:val="0"/>
          <w:sz w:val="32"/>
          <w:szCs w:val="32"/>
        </w:rPr>
        <w:t>00元）等。中标单位的投标保证金自动转为履约保证金，履约保证金按标的金额的5%收取，多退少补。未中标单位的投标保证金在宣标后十五个工作日内一次性返还（无息）。开票信息如下：</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账户名称：萍乡萍钢安源钢铁有限公司</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开户行：中国建设银行股份有限公司萍乡湘东支行</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账号：36001752010052504776</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 xml:space="preserve">六、招标方信息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（一）招标单位名称：萍安钢铁设备材料公司</w:t>
      </w:r>
    </w:p>
    <w:p>
      <w:pPr>
        <w:spacing w:line="440" w:lineRule="exact"/>
        <w:ind w:firstLine="640" w:firstLineChars="200"/>
        <w:jc w:val="left"/>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（二）招标项目业务负责人及联系方式：彭海春18870993466</w:t>
      </w:r>
    </w:p>
    <w:p>
      <w:pPr>
        <w:spacing w:line="440" w:lineRule="exact"/>
        <w:ind w:firstLine="640" w:firstLineChars="200"/>
        <w:jc w:val="left"/>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（三）设备材料公司监督电话：</w:t>
      </w:r>
      <w:r>
        <w:rPr>
          <w:rFonts w:hint="eastAsia" w:ascii="仿宋" w:hAnsi="仿宋" w:eastAsia="仿宋" w:cs="仿宋_GB2312"/>
          <w:b w:val="0"/>
          <w:bCs w:val="0"/>
          <w:color w:val="auto"/>
          <w:kern w:val="0"/>
          <w:sz w:val="32"/>
          <w:szCs w:val="32"/>
          <w:lang w:val="en-US" w:eastAsia="zh-CN"/>
        </w:rPr>
        <w:t>李</w:t>
      </w:r>
      <w:r>
        <w:rPr>
          <w:rFonts w:hint="eastAsia" w:ascii="仿宋" w:hAnsi="仿宋" w:eastAsia="仿宋" w:cs="仿宋_GB2312"/>
          <w:b w:val="0"/>
          <w:bCs w:val="0"/>
          <w:color w:val="auto"/>
          <w:kern w:val="0"/>
          <w:sz w:val="32"/>
          <w:szCs w:val="32"/>
        </w:rPr>
        <w:t>先生 0799-6356077</w:t>
      </w:r>
    </w:p>
    <w:p>
      <w:pPr>
        <w:spacing w:line="440" w:lineRule="exact"/>
        <w:ind w:firstLine="640" w:firstLineChars="200"/>
        <w:jc w:val="left"/>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（四）审监法务部监督电话：王先生  0799-6356116</w:t>
      </w:r>
    </w:p>
    <w:p>
      <w:pPr>
        <w:spacing w:line="440" w:lineRule="exact"/>
        <w:ind w:firstLine="640" w:firstLineChars="200"/>
        <w:rPr>
          <w:rFonts w:ascii="仿宋" w:hAnsi="仿宋" w:eastAsia="仿宋" w:cs="仿宋_GB2312"/>
          <w:b w:val="0"/>
          <w:bCs w:val="0"/>
          <w:color w:val="auto"/>
          <w:kern w:val="0"/>
          <w:sz w:val="32"/>
          <w:szCs w:val="32"/>
        </w:rPr>
      </w:pPr>
    </w:p>
    <w:p>
      <w:pPr>
        <w:spacing w:line="440" w:lineRule="exact"/>
        <w:ind w:firstLine="640" w:firstLineChars="200"/>
        <w:rPr>
          <w:rFonts w:ascii="仿宋" w:hAnsi="仿宋" w:eastAsia="仿宋" w:cs="仿宋_GB2312"/>
          <w:b w:val="0"/>
          <w:bCs w:val="0"/>
          <w:color w:val="auto"/>
          <w:kern w:val="0"/>
          <w:sz w:val="32"/>
          <w:szCs w:val="32"/>
        </w:rPr>
      </w:pPr>
    </w:p>
    <w:p>
      <w:pPr>
        <w:spacing w:line="440" w:lineRule="exact"/>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 xml:space="preserve">                  萍乡萍钢安源钢铁有限公司</w:t>
      </w:r>
    </w:p>
    <w:p>
      <w:pPr>
        <w:snapToGrid w:val="0"/>
        <w:spacing w:line="440" w:lineRule="exact"/>
        <w:rPr>
          <w:rFonts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rPr>
        <w:t xml:space="preserve">                 公告时间：202</w:t>
      </w:r>
      <w:r>
        <w:rPr>
          <w:rFonts w:hint="eastAsia" w:ascii="仿宋" w:hAnsi="仿宋" w:eastAsia="仿宋" w:cs="仿宋_GB2312"/>
          <w:b w:val="0"/>
          <w:bCs w:val="0"/>
          <w:color w:val="auto"/>
          <w:kern w:val="0"/>
          <w:sz w:val="32"/>
          <w:szCs w:val="32"/>
          <w:lang w:val="en-US" w:eastAsia="zh-CN"/>
        </w:rPr>
        <w:t>2</w:t>
      </w:r>
      <w:r>
        <w:rPr>
          <w:rFonts w:hint="eastAsia" w:ascii="仿宋" w:hAnsi="仿宋" w:eastAsia="仿宋" w:cs="仿宋_GB2312"/>
          <w:b w:val="0"/>
          <w:bCs w:val="0"/>
          <w:color w:val="auto"/>
          <w:kern w:val="0"/>
          <w:sz w:val="32"/>
          <w:szCs w:val="32"/>
        </w:rPr>
        <w:t>年</w:t>
      </w:r>
      <w:r>
        <w:rPr>
          <w:rFonts w:hint="eastAsia" w:ascii="仿宋" w:hAnsi="仿宋" w:eastAsia="仿宋" w:cs="仿宋_GB2312"/>
          <w:b w:val="0"/>
          <w:bCs w:val="0"/>
          <w:color w:val="auto"/>
          <w:kern w:val="0"/>
          <w:sz w:val="32"/>
          <w:szCs w:val="32"/>
          <w:lang w:val="en-US" w:eastAsia="zh-CN"/>
        </w:rPr>
        <w:t>6</w:t>
      </w:r>
      <w:r>
        <w:rPr>
          <w:rFonts w:hint="eastAsia" w:ascii="仿宋" w:hAnsi="仿宋" w:eastAsia="仿宋" w:cs="仿宋_GB2312"/>
          <w:b w:val="0"/>
          <w:bCs w:val="0"/>
          <w:color w:val="auto"/>
          <w:kern w:val="0"/>
          <w:sz w:val="32"/>
          <w:szCs w:val="32"/>
        </w:rPr>
        <w:t>月</w:t>
      </w:r>
      <w:r>
        <w:rPr>
          <w:rFonts w:hint="eastAsia" w:ascii="仿宋" w:hAnsi="仿宋" w:eastAsia="仿宋" w:cs="仿宋_GB2312"/>
          <w:b w:val="0"/>
          <w:bCs w:val="0"/>
          <w:color w:val="auto"/>
          <w:kern w:val="0"/>
          <w:sz w:val="32"/>
          <w:szCs w:val="32"/>
          <w:lang w:val="en-US" w:eastAsia="zh-CN"/>
        </w:rPr>
        <w:t>20</w:t>
      </w:r>
      <w:r>
        <w:rPr>
          <w:rFonts w:hint="eastAsia" w:ascii="仿宋" w:hAnsi="仿宋" w:eastAsia="仿宋" w:cs="仿宋_GB2312"/>
          <w:b w:val="0"/>
          <w:bCs w:val="0"/>
          <w:color w:val="auto"/>
          <w:kern w:val="0"/>
          <w:sz w:val="32"/>
          <w:szCs w:val="32"/>
        </w:rPr>
        <w:t>日</w:t>
      </w:r>
    </w:p>
    <w:p>
      <w:pPr>
        <w:snapToGrid w:val="0"/>
        <w:spacing w:line="500" w:lineRule="exact"/>
        <w:jc w:val="center"/>
        <w:rPr>
          <w:b w:val="0"/>
          <w:bCs w:val="0"/>
          <w:color w:val="auto"/>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lang w:eastAsia="zh-CN"/>
        </w:rPr>
        <w:t>网络安全设备</w:t>
      </w:r>
      <w:r>
        <w:rPr>
          <w:rFonts w:hint="eastAsia" w:ascii="仿宋" w:hAnsi="仿宋" w:eastAsia="仿宋" w:cs="仿宋_GB2312"/>
          <w:kern w:val="0"/>
          <w:sz w:val="32"/>
          <w:szCs w:val="32"/>
        </w:rPr>
        <w:t>采购</w:t>
      </w:r>
      <w:r>
        <w:rPr>
          <w:rFonts w:hint="eastAsia" w:ascii="仿宋" w:hAnsi="仿宋" w:eastAsia="仿宋" w:cs="仿宋_GB2312"/>
          <w:sz w:val="32"/>
          <w:szCs w:val="32"/>
          <w:shd w:val="clear" w:color="auto" w:fill="FFFFFF"/>
        </w:rPr>
        <w:t>招标活动（业务编号：ZB/SC202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G186</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6</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20</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3</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6</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19</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sz w:val="32"/>
          <w:szCs w:val="32"/>
          <w:shd w:val="clear" w:color="auto" w:fill="FFFFFF"/>
          <w:lang w:val="en-US" w:eastAsia="zh-CN"/>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6</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20</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28"/>
          <w:szCs w:val="28"/>
          <w:shd w:val="clear" w:color="auto" w:fill="FFFFFF"/>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_GB2312"/>
          <w:kern w:val="0"/>
          <w:sz w:val="32"/>
          <w:szCs w:val="32"/>
          <w:lang w:eastAsia="zh-CN"/>
        </w:rPr>
        <w:t>网络安全设备</w:t>
      </w:r>
      <w:r>
        <w:rPr>
          <w:rFonts w:hint="eastAsia" w:ascii="仿宋" w:hAnsi="仿宋" w:eastAsia="仿宋" w:cs="仿宋_GB2312"/>
          <w:kern w:val="0"/>
          <w:sz w:val="32"/>
          <w:szCs w:val="32"/>
        </w:rPr>
        <w:t>采购</w:t>
      </w:r>
      <w:r>
        <w:rPr>
          <w:rFonts w:hint="eastAsia" w:ascii="仿宋" w:hAnsi="仿宋" w:eastAsia="仿宋" w:cs="仿宋_GB2312"/>
          <w:sz w:val="32"/>
          <w:szCs w:val="32"/>
        </w:rPr>
        <w:t>项目</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G186</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6</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20</w:t>
      </w:r>
      <w:r>
        <w:rPr>
          <w:rFonts w:hint="eastAsia" w:ascii="仿宋" w:hAnsi="仿宋" w:eastAsia="仿宋" w:cs="仿宋_GB2312"/>
          <w:bCs/>
          <w:sz w:val="32"/>
          <w:szCs w:val="32"/>
        </w:rPr>
        <w:t>日</w:t>
      </w: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jc w:val="center"/>
        <w:rPr>
          <w:rFonts w:ascii="小标宋" w:hAnsi="仿宋" w:eastAsia="小标宋"/>
          <w:b/>
          <w:bCs/>
          <w:sz w:val="44"/>
          <w:szCs w:val="44"/>
        </w:rPr>
      </w:pPr>
      <w:r>
        <w:rPr>
          <w:rFonts w:hint="eastAsia" w:ascii="小标宋" w:hAnsi="仿宋" w:eastAsia="小标宋"/>
          <w:b/>
          <w:bCs/>
          <w:sz w:val="44"/>
          <w:szCs w:val="44"/>
        </w:rPr>
        <w:t>网络安全设备技术参数要求</w:t>
      </w:r>
    </w:p>
    <w:p/>
    <w:p/>
    <w:p>
      <w:pPr>
        <w:rPr>
          <w:rFonts w:hint="eastAsia"/>
        </w:rPr>
      </w:pPr>
      <w:r>
        <w:rPr>
          <w:rFonts w:hint="eastAsia"/>
        </w:rPr>
        <w:t>一、网络安全设备技术参数要求</w:t>
      </w:r>
    </w:p>
    <w:p>
      <w:r>
        <w:rPr>
          <w:rFonts w:hint="eastAsia"/>
        </w:rPr>
        <w:t xml:space="preserve">    以下主要产品必须提供原厂项目授权书及售后服务承诺函原件</w:t>
      </w:r>
    </w:p>
    <w:tbl>
      <w:tblPr>
        <w:tblStyle w:val="30"/>
        <w:tblW w:w="9322"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Grid>
        <w:gridCol w:w="427"/>
        <w:gridCol w:w="674"/>
        <w:gridCol w:w="850"/>
        <w:gridCol w:w="5387"/>
        <w:gridCol w:w="567"/>
        <w:gridCol w:w="567"/>
        <w:gridCol w:w="850"/>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18" w:space="0"/>
              <w:right w:val="single" w:color="4F81BD" w:themeColor="accent1" w:sz="8" w:space="0"/>
              <w:insideH w:val="single" w:sz="18" w:space="0"/>
              <w:insideV w:val="single" w:sz="8" w:space="0"/>
            </w:tcBorders>
          </w:tcPr>
          <w:p>
            <w:pPr>
              <w:widowControl/>
              <w:spacing w:before="0" w:after="0" w:line="240" w:lineRule="auto"/>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序号</w:t>
            </w:r>
          </w:p>
        </w:tc>
        <w:tc>
          <w:tcPr>
            <w:tcW w:w="674"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widowControl/>
              <w:spacing w:before="0" w:after="0" w:line="240" w:lineRule="auto"/>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设备名称</w:t>
            </w:r>
          </w:p>
        </w:tc>
        <w:tc>
          <w:tcPr>
            <w:tcW w:w="850"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widowControl/>
              <w:spacing w:before="0" w:after="0" w:line="240" w:lineRule="auto"/>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参考</w:t>
            </w:r>
          </w:p>
          <w:p>
            <w:pPr>
              <w:widowControl/>
              <w:spacing w:before="0" w:after="0" w:line="240" w:lineRule="auto"/>
              <w:jc w:val="center"/>
              <w:rPr>
                <w:rFonts w:cs="宋体" w:asciiTheme="minorEastAsia" w:hAnsiTheme="minorEastAsia" w:eastAsiaTheme="minorEastAsia"/>
                <w:b w:val="0"/>
                <w:bCs w:val="0"/>
                <w:kern w:val="0"/>
                <w:sz w:val="18"/>
                <w:szCs w:val="18"/>
              </w:rPr>
            </w:pPr>
            <w:r>
              <w:rPr>
                <w:rFonts w:hint="eastAsia" w:cs="宋体" w:asciiTheme="minorEastAsia" w:hAnsiTheme="minorEastAsia" w:eastAsiaTheme="minorEastAsia"/>
                <w:b/>
                <w:bCs/>
                <w:kern w:val="0"/>
                <w:sz w:val="18"/>
                <w:szCs w:val="18"/>
              </w:rPr>
              <w:t>型号</w:t>
            </w:r>
          </w:p>
        </w:tc>
        <w:tc>
          <w:tcPr>
            <w:tcW w:w="5387"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widowControl/>
              <w:spacing w:before="0" w:after="0" w:line="240" w:lineRule="auto"/>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设备参数</w:t>
            </w:r>
          </w:p>
        </w:tc>
        <w:tc>
          <w:tcPr>
            <w:tcW w:w="567"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widowControl/>
              <w:spacing w:before="0" w:after="0" w:line="240" w:lineRule="auto"/>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数量</w:t>
            </w:r>
          </w:p>
        </w:tc>
        <w:tc>
          <w:tcPr>
            <w:tcW w:w="567"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widowControl/>
              <w:spacing w:before="0" w:after="0" w:line="240" w:lineRule="auto"/>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单位</w:t>
            </w:r>
          </w:p>
        </w:tc>
        <w:tc>
          <w:tcPr>
            <w:tcW w:w="850" w:type="dxa"/>
            <w:tcBorders>
              <w:top w:val="single" w:color="4F81BD" w:themeColor="accent1" w:sz="8" w:space="0"/>
              <w:bottom w:val="single" w:color="4F81BD" w:themeColor="accent1" w:sz="18" w:space="0"/>
              <w:right w:val="single" w:color="4F81BD" w:themeColor="accent1" w:sz="8" w:space="0"/>
              <w:insideH w:val="single" w:sz="18" w:space="0"/>
              <w:insideV w:val="single" w:sz="8" w:space="0"/>
            </w:tcBorders>
          </w:tcPr>
          <w:p>
            <w:pPr>
              <w:widowControl/>
              <w:spacing w:before="0" w:after="0" w:line="240" w:lineRule="auto"/>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备注</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1</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容灾备份一体机</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rPr>
                <w:rFonts w:cs="宋体" w:asciiTheme="minorEastAsia" w:hAnsiTheme="minorEastAsia" w:eastAsiaTheme="minorEastAsia"/>
                <w:kern w:val="0"/>
                <w:sz w:val="18"/>
                <w:szCs w:val="18"/>
              </w:rPr>
            </w:pPr>
            <w:r>
              <w:rPr>
                <w:rFonts w:asciiTheme="minorEastAsia" w:hAnsiTheme="minorEastAsia" w:eastAsiaTheme="minorEastAsia"/>
                <w:kern w:val="0"/>
                <w:sz w:val="18"/>
                <w:szCs w:val="18"/>
              </w:rPr>
              <w:t>MSBK3012</w:t>
            </w:r>
            <w:r>
              <w:rPr>
                <w:rFonts w:cs="宋体" w:asciiTheme="minorEastAsia" w:hAnsiTheme="minorEastAsia" w:eastAsiaTheme="minorEastAsia"/>
                <w:kern w:val="0"/>
                <w:sz w:val="18"/>
                <w:szCs w:val="18"/>
              </w:rPr>
              <w:t xml:space="preserve"> </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1.四路机架式软硬件一体化架构，集备份管理软件，备份服务器和备份存储于一体，无需配置独立备份服务器，无需配置外置备份存储；</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2.支持一台设备备份多个服务器，且能够在资源范围内接管多个业务。</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3.基于Linux64位系统(非Windows或Unix)的专用容灾备份存储设备，减少病毒感染机率，确保系统稳定。</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4.配置≥4颗Intel</w:t>
            </w:r>
            <w:r>
              <w:rPr>
                <w:rFonts w:hint="eastAsia" w:cs="宋体" w:asciiTheme="minorEastAsia" w:hAnsiTheme="minorEastAsia" w:eastAsiaTheme="minorEastAsia"/>
                <w:kern w:val="0"/>
                <w:sz w:val="18"/>
                <w:szCs w:val="18"/>
              </w:rPr>
              <w:t xml:space="preserve"> </w:t>
            </w:r>
            <w:r>
              <w:rPr>
                <w:rFonts w:cs="宋体" w:asciiTheme="minorEastAsia" w:hAnsiTheme="minorEastAsia" w:eastAsiaTheme="minorEastAsia"/>
                <w:kern w:val="0"/>
                <w:sz w:val="18"/>
                <w:szCs w:val="18"/>
              </w:rPr>
              <w:t>Xeon</w:t>
            </w:r>
            <w:r>
              <w:rPr>
                <w:rFonts w:hint="eastAsia" w:cs="宋体" w:asciiTheme="minorEastAsia" w:hAnsiTheme="minorEastAsia" w:eastAsiaTheme="minorEastAsia"/>
                <w:kern w:val="0"/>
                <w:sz w:val="18"/>
                <w:szCs w:val="18"/>
              </w:rPr>
              <w:t xml:space="preserve"> </w:t>
            </w:r>
            <w:r>
              <w:rPr>
                <w:rFonts w:cs="宋体" w:asciiTheme="minorEastAsia" w:hAnsiTheme="minorEastAsia" w:eastAsiaTheme="minorEastAsia"/>
                <w:kern w:val="0"/>
                <w:sz w:val="18"/>
                <w:szCs w:val="18"/>
              </w:rPr>
              <w:t>Gold</w:t>
            </w:r>
            <w:r>
              <w:rPr>
                <w:rFonts w:hint="eastAsia" w:cs="宋体" w:asciiTheme="minorEastAsia" w:hAnsiTheme="minorEastAsia" w:eastAsiaTheme="minorEastAsia"/>
                <w:kern w:val="0"/>
                <w:sz w:val="18"/>
                <w:szCs w:val="18"/>
              </w:rPr>
              <w:t xml:space="preserve"> </w:t>
            </w:r>
            <w:r>
              <w:rPr>
                <w:rFonts w:cs="宋体" w:asciiTheme="minorEastAsia" w:hAnsiTheme="minorEastAsia" w:eastAsiaTheme="minorEastAsia"/>
                <w:kern w:val="0"/>
                <w:sz w:val="18"/>
                <w:szCs w:val="18"/>
              </w:rPr>
              <w:t>6330H</w:t>
            </w:r>
            <w:r>
              <w:rPr>
                <w:rFonts w:hint="eastAsia" w:cs="宋体" w:asciiTheme="minorEastAsia" w:hAnsiTheme="minorEastAsia" w:eastAsiaTheme="minorEastAsia"/>
                <w:kern w:val="0"/>
                <w:sz w:val="18"/>
                <w:szCs w:val="18"/>
              </w:rPr>
              <w:t xml:space="preserve"> </w:t>
            </w:r>
            <w:r>
              <w:rPr>
                <w:rFonts w:cs="宋体" w:asciiTheme="minorEastAsia" w:hAnsiTheme="minorEastAsia" w:eastAsiaTheme="minorEastAsia"/>
                <w:kern w:val="0"/>
                <w:sz w:val="18"/>
                <w:szCs w:val="18"/>
              </w:rPr>
              <w:t>@2.0GHz，24核处理器或以上系列；内存≥512GB；≥4个千兆以太网电口、≥2个万兆以太网光口（含多模模块）；实配≥2块480GBSSD、≥30块2.4TB10KSAS硬盘；</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实配：备份软件一套（含≥50TB软件授权许可）；不限备份客户端数量，不限数据库备份数量，支持Vmware、华三等国内外主流虚拟化平台无代理备份。配置整机备份/裸机恢复模块，配置重复数据删除模块,配置LAN-Free备份模块；</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6.支持主流的数据库备份恢复，包括但不</w:t>
            </w:r>
            <w:bookmarkStart w:id="0" w:name="_GoBack"/>
            <w:bookmarkEnd w:id="0"/>
            <w:r>
              <w:rPr>
                <w:rFonts w:cs="宋体" w:asciiTheme="minorEastAsia" w:hAnsiTheme="minorEastAsia" w:eastAsiaTheme="minorEastAsia"/>
                <w:kern w:val="0"/>
                <w:sz w:val="18"/>
                <w:szCs w:val="18"/>
              </w:rPr>
              <w:t>限于Oracle、SQLServer、MySQL等主流数据库应用。</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7.提供对文件、操作系统、数据库、应用软件、虚拟化的备份保护。</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8.应急接管和容灾演练的虚拟机，均可通过备份设备的WEB页面直接进行图形化的管理，无需安装任何插件，包括开机、断电、重启、远程控制等功能。</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9.支持写缓存镜像技术，写缓存能够临时留存CPU高速计算生成的临时数据；</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支持在线备份Oracle的redolog和archivelog，提供准实时的数据保护和精准的任意时间点恢复，RPO≈0的安全防护能力，RTO＜15分钟的快速恢复功能；支持Oracle日志解析，可以界面化展现Oracle事务中的SCN和具体事务操作，并选择准确的SCN号来确定数据恢复点。通过日志解析获取事务具体操作的SQL语句，实现在线创建事务日志撤销作业，需提供功能截图。</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11.支持LAN、WAN、SAN、IP-SAN、FC-SAN等各种系统架构</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12.针对系统的高危操作（如：恢复作业、清理备份集等）前要求输入四位或以上的随机数字验证码，待验证通过后才能执行操作，防止人为误操作危害数据，需提供功能截图。</w:t>
            </w:r>
          </w:p>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13.本次含设备含安装实施服务，提供3年原厂软硬件质保。</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14.</w:t>
            </w:r>
            <w:r>
              <w:rPr>
                <w:rFonts w:hint="eastAsia" w:ascii="微软雅黑" w:hAnsi="微软雅黑" w:eastAsia="微软雅黑" w:cs="微软雅黑"/>
                <w:kern w:val="0"/>
                <w:sz w:val="18"/>
                <w:szCs w:val="18"/>
              </w:rPr>
              <w:t xml:space="preserve"> </w:t>
            </w:r>
            <w:r>
              <w:rPr>
                <w:rFonts w:hint="eastAsia" w:cs="宋体" w:asciiTheme="minorEastAsia" w:hAnsiTheme="minorEastAsia" w:eastAsiaTheme="minorEastAsia"/>
                <w:kern w:val="0"/>
                <w:sz w:val="18"/>
                <w:szCs w:val="18"/>
              </w:rPr>
              <w:t>3年7*24小时服务</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套</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用于容灾备份</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推荐品牌：爱数，鼎甲</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2</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企业版杀毒软件</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终端安全管理系统</w:t>
            </w:r>
            <w:r>
              <w:rPr>
                <w:rFonts w:cs="宋体" w:asciiTheme="minorEastAsia" w:hAnsiTheme="minorEastAsia" w:eastAsiaTheme="minorEastAsia"/>
                <w:kern w:val="0"/>
                <w:sz w:val="18"/>
                <w:szCs w:val="18"/>
              </w:rPr>
              <w:t>V2.0</w:t>
            </w:r>
            <w:r>
              <w:rPr>
                <w:rFonts w:hint="eastAsia" w:cs="宋体" w:asciiTheme="minorEastAsia" w:hAnsiTheme="minorEastAsia" w:eastAsiaTheme="minorEastAsia"/>
                <w:kern w:val="0"/>
                <w:sz w:val="18"/>
                <w:szCs w:val="18"/>
              </w:rPr>
              <w:t>企业版</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控制中心，多级中心，全网威胁趋势展示，终端管理，查杀任务管理、全网日志、远程控制管理、外设管理、全网终端防火墙统一调度策略，文件分发，消息通知等。</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病毒查杀，操作系统损坏或破破坏修复，文件实时监控，宏病毒查杀，病毒启发式扫描，恶意程序或行为监控，U盘保护及禁用，下载保护，邮件监控，系统加固，恶意软件安装拦截，浏览器保护，自动黑客入侵拦截并告警，本机对外攻击检测，恶意网站拦截，远程桌面登录二次防护，本身外设备管控（可禁用或强制启用），全网终端防火墙可通过控制台统一管理，可下发防火墙策略进行IP协议控制，IP黑名单，终端登陆二次验证，可统一下发指令对终端右键管理，垃圾清理，文件粉碎，弹窗广告拦截，启动项管理，网络流量管理，漏洞自动修复，文件分发，消息通知。</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软件升级(*3年);</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300</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点</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用于windows服务器及重要岗位计算机</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推荐品牌：火绒，360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3</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核心交换机</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H3C-S7506E-X</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交换容量≥153Tbps，包转发率≥36000 Mpps；</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整机业务槽位≥6个，独立交换网板，双主控，双电源，双风扇；</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以太网接口可配置千兆电口，千兆光口，万兆光口、万兆电口、40G接口、100G接口；可扩容防火墙、IPS、LB、SSL VPN插卡；</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采用正交设计，业务板卡与交换网板采用完全正交设计(90度)，跨线卡业务流量通过正交连接器直接上交换网板，背板走线降低为零；</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5</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多虚一技术(N:1)，最大可达到4框虚拟化技术，此次实现2框虚拟化技术；</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配置双主控，双电源，满配交换网板，≥48个千兆电口，≥24个千兆光口，≥16个万兆光口；两根3米万兆堆叠线，6个万兆单模光模块，24个千兆单模光模块；</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9.能与现有核心交换机进行堆叠；</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r>
              <w:rPr>
                <w:rFonts w:hint="eastAsia" w:ascii="微软雅黑" w:hAnsi="微软雅黑" w:eastAsia="微软雅黑" w:cs="微软雅黑"/>
                <w:kern w:val="0"/>
                <w:sz w:val="18"/>
                <w:szCs w:val="18"/>
              </w:rPr>
              <w:t xml:space="preserve"> </w:t>
            </w:r>
            <w:r>
              <w:rPr>
                <w:rFonts w:hint="eastAsia" w:cs="宋体" w:asciiTheme="minorEastAsia" w:hAnsiTheme="minorEastAsia" w:eastAsiaTheme="minorEastAsia"/>
                <w:kern w:val="0"/>
                <w:sz w:val="18"/>
                <w:szCs w:val="18"/>
              </w:rPr>
              <w:t>提供三年原厂质保服务。</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用于容灾备份机房</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推荐品牌：H3C，华为</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4</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堡垒机</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TopSAG</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1U,6个千兆电口，2个千兆光口，1个console口。2个扩展槽位,200资源授权，用户数不限制；运维管理系统永久授权；</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2</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采用物理旁路部署，不改变现有网络结构；支持双机部署，保证系统发生故障时的可用性；支持自建集群部署：支持无缝横向扩展，轻松应对高并发需求；</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3</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支持用户的增删改查、锁定、激活，进行用户全生命周期管理，支持用户批量导入和导出；支持用户清理功能</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4</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支持系统管理员、保密管理员、密码管理员、安全审计员、保密员、运维管理员、操作员七种角色，同时也可按需分配角色权限，权限间相互制约；</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5</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支持资源分类和资源系统类型管理：内置常见资源分类和资源系统类型，可自定义添加资源分类、资源系统类型和资源服务类型；</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6</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对已添加的设备账号进行密码托管，从而实现单点登录功能；自动对数据库、Windows、Linux等设备进行账号改密，改密支持手动和定期任务，密码配置支持全局策略和手工指定，密码复杂度支持按策略随机生成；</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7</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支持按照用户、用户组、资产、资产组、管理协议、资产账号进行一对一、一对多、多对一、多对多授权；支持会话、指令、剪切板上下行、文件上传下载的约束行为；支持对用户/IP/mac地址/登录时间进行控制；</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8</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支持内置工单运维，操作员可根据工作需求临时申请设备运维工单，管理员审批后可直接运维，过期失效；支持对运维时间、运维地址、运维操作指令、操作行为的限定，触发策略后进行告警、再审、阻断等；</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9</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地址、时间、指令单独组配置，进行批量管理；支持访问SSH、RDP、Telnet、FTP、SFTP、VNC、数据库等资产；支持无须记忆多个设备账号和密码，实现账号密码代填功能；支持自动、半自动、手动三种登录方式；支持进行协议/工具扩展；</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10</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字符协议SSH、TELNET和文件传输协议FTP、SFTP的协议审计，审计详细的操作指令及操作录像，同时可根据每条指令快速定位其操作录像；支持通过应用发布实现数据库操作的命令级审计和图形审计的双重审计效果；自动对Windows、Linux等设备进行账号改密，可设定周期性改密；</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台</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用于运维管理</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推荐品牌：深信服，天融信，奇安信</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5</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日志审计</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TopAudit</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1U,7个千兆电口,日志采集处理速度≥5000EPS，包含≥50个日志源授权。≥16G内存；≥250G SSD 系统盘；数据存储容量≥4T；提供三年原厂质保服务；</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2</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支持安全设备、网络设备、中间件、服务器、数据库、操作系统、业务系统等不少于26类300种日志对象的日志数据采集；支持Syslog、SNMP Trap、Netflow、JDBC、WMI、FTP、SFTP、SCP、文件等方式进行数据采集；支持通过Agent采集日志数据</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3</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基于时间轴展示数据分布，能够通过时间轴进行查询分析。</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4</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日志归一化处理，将不同设备所产生的不同格式的难以理解的日志数据进行统一格式化处理，提炼出有用信息清晰、明确的展示给管理者；支持日志转发给第三方系统平台，支持设置多个日志转发IP地址，支持转发格式化日志或仅转发原始日志；</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5</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支持查询结果快速统计，可自定义统计主题规则，支持将多个主题添加为一个统计任务，以分、时、周、月、年定时执行自动统计，将统计结果报表发送到指定邮箱；</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6</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内置系统运行相关告警规则，包括检测到新日志源、节点掉线、主动日志源长期不外发日志、存储上限告警、主机认证失败等，可启用/禁用规则；支持安全告警概况、安全告警趋势的统一展示，实时告警可根据级别、规则类型等进行分类； 支持邮件、Snmp Trap、声音、声光、短信、一信通响应、数据库响应等多种告警方式，支持报警内容引用字段变量参数。</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7</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系统内置上百种报表模版，支持自动实现智能报表创建，每添加一个日志源，系统自动分析日志源类型进行相应报表创建，无需人工干预，报表和资产一一对应；</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8</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支持按照日志源名称、IP地址、日志源类型、接受时间及状态等维度对日志源列表进行排序；</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9</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为日志源指定类型、名称、IP地址、收集节点、收集方式、以及日志源启停状态等属性信息；支持以业务角度将日志源进行分组，支持在日志查询时以业务组进行查询，支持在首页拓扑展示时以业务组进行展示；</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10</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支持基于拓扑图的日志源相关数据信息快速查看；支持通过拓扑下钻查看对应日志源的日志、报表、告警数据。</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台</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用于日志审计保留</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推荐品牌：深信服，天融信，奇安信</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6</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web</w:t>
            </w:r>
            <w:r>
              <w:rPr>
                <w:rFonts w:hint="eastAsia" w:cs="宋体" w:asciiTheme="minorEastAsia" w:hAnsiTheme="minorEastAsia" w:eastAsiaTheme="minorEastAsia"/>
                <w:kern w:val="0"/>
                <w:sz w:val="18"/>
                <w:szCs w:val="18"/>
              </w:rPr>
              <w:t>应用防火墙（</w:t>
            </w:r>
            <w:r>
              <w:rPr>
                <w:rFonts w:cs="宋体" w:asciiTheme="minorEastAsia" w:hAnsiTheme="minorEastAsia" w:eastAsiaTheme="minorEastAsia"/>
                <w:kern w:val="0"/>
                <w:sz w:val="18"/>
                <w:szCs w:val="18"/>
              </w:rPr>
              <w:t>WAF</w:t>
            </w:r>
            <w:r>
              <w:rPr>
                <w:rFonts w:hint="eastAsia" w:cs="宋体" w:asciiTheme="minorEastAsia" w:hAnsiTheme="minorEastAsia" w:eastAsiaTheme="minorEastAsia"/>
                <w:kern w:val="0"/>
                <w:sz w:val="18"/>
                <w:szCs w:val="18"/>
              </w:rPr>
              <w:t>）</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TopWAF</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1U,6个千兆电口， 2个千兆光口,单电源,2个扩展槽位,应用层吞吐≥500M，网络层吞吐≥3.5G，并发连接≥90万，含3年产品特征库升级许可。</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2</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采用专用硬件架构与安全操作系统，基于操作系统内核的完全检测技术；产品为专业性 Web 应用安全防护系统硬件设备，而非下一代防火墙\UTM 类设备集成的 WEB 防护功能模块。</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3</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支持虚拟线接入，无论任何网络环境可强制数据从一个接口转发到另一个接口，支持提取客户端真实IP头；自动尝试匹配X-Forwarded-For, X-Real-IP, Cdn-Src-Ip 用以获取真实客户端IP。</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4</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支持HTTP/HTTPS站点防护，在代理模式下支持HTTPS流量解析，支持SSL卸载功能。支持网络层访问控制，支持基于源IP 地址、目的IP 地址、源端口、目的端口、协议类型及目的区域、地理区域等条件的访问控制。</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5</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支持应用层访问控制功能，针对 HTTP请求字段进行过滤，包括HTTP协议版本，请求方法，Cookie信息等。支持多重编码检查功能，可对多重的编码均进行安全防御检查，有效防止攻击绕过WAF。</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6</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对文件的上传下载进行控制，包括上传及下载最大文件大小、文件扩展名、MIME类型等进行控制；支持对上传文件内容进行病毒检测的功能。支持DDoS攻击动态黑名单功能，检测到DDoS攻击将其攻击源自动加入黑名单。</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7</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Web界面直观查看WAF扩展卡、接口状态、接口流量、管理口、HA口及业务口的运行状态。支持对防护的WEB服务器进行健康检查，可以实时监测服务器的活跃状态，并且可定期备份健康记录。</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日志支持以syslog和welf两种格式向远端日志服务器发送日志，日志传输可加密，且管理员可以配置加密密码。</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8</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针对攻击日志，可对任意一条编辑其行为动作，包括阻断记录日志、阻断不记录日志、继续、警告、临时或永久跳转到某一重定向页面等动作。</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9</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支持集中管理功能，管理中心支持节点信息监控，节点管理，节点策略配置等功能，方便客户日常运维。</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10</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支持双机热备，包括主备、主主负载均衡、连接保护等模式。支持两台WAF配置同步，包括全局同步和策略同步两种同步方式。支持同一台WAF上下接口状态联动(一个接口down另外一个接口也同步down) 。</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jc w:val="cente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jc w:val="cente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台</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对外应用，web映射防护</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推荐品牌：深信服，天融信，奇安信</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7</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漏洞扫描</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TopScanner 7000</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spacing w:before="0" w:after="0" w:line="240" w:lineRule="auto"/>
              <w:jc w:val="cente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1U,6个千兆电口，2个千兆光口，1个console,冗余电源,2个扩展槽位,2个USB口，≥16G内存，≥1T硬盘，50个域名扫描，并发扫描3个Web扫描任务，并发扫描5个系统扫描任务，并发扫描80个IP地址，含1年规则库升级许可，支持分布式部署。</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含3年综合漏扫规则库升级许可</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2</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支持扫描主流操作系统、Web服务器、数据库、网络主机、移动设备、应用及软件的安全漏洞；支持限制webui、ssh、telnet方式登陆最大并发管理数，超出限额时，处理策略可选提示不能登陆和踢掉最不活跃的用户</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3</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支持首页全面展示风险分布及趋势图表，包括主机风险分布、站点风险分布、漏洞风险分布、漏洞top10、资产风险值趋势、资产风险分布趋势</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4</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支持扫描系统漏洞数量大于140000种，web漏洞数量大于2200种,数据库大于2500种，CVE漏洞数大于60000，产品漏洞库应涵盖目前的安全漏洞和攻击特征，漏洞库具备至少CVE、CNCVE、CNVD、BUGTRAQ、CNNVD编号；</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5</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登录扫描支持ssh、smb、snmp、esxi、mysql、db2、postgresql、mssql、ftp、imap、pop3、pop2、rsh、rexec、rlogin、smtp、telent、gbase、dmdb、oracle等类型；</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6</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支持DB2、FTP、IMAP、MSSQL、MYSQL、Oracle、POP3、POSTGRES、RDP、Redis、RTSP、SMB、SMTP、SNMP、SSH、TELNET、TOMAT等的弱口令探测</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7</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支持站点组、单站点风险在线报表和站点特有属性配置站点信息包含但不限于：代理、认证、访问策略、爬取策略、指纹选项等信息</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8</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支持自定义路径，对有爬取限制链接进行深度扫描，添加指定的站点url，便于爬取到更多的页面；支持排除后缀名，可自定义无需爬取的文件后缀名，即引擎爬虫不对如下特定的链接爬取</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9</w:t>
            </w:r>
            <w:r>
              <w:rPr>
                <w:rFonts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主机报表支持展示主机风险、漏洞信息，及主机详细的端口信息、端口Banner信息、安装软件信息、操作系统类型；支持扫描任务中自动生成报表，包含html、pdf、word、excel、wps等多种格式类型，可通过设置邮箱自动发送</w:t>
            </w:r>
            <w:r>
              <w:rPr>
                <w:rFonts w:hint="eastAsia" w:asciiTheme="minorEastAsia" w:hAnsiTheme="minorEastAsia" w:eastAsiaTheme="minorEastAsia"/>
                <w:kern w:val="0"/>
                <w:sz w:val="18"/>
                <w:szCs w:val="18"/>
              </w:rPr>
              <w:br w:type="textWrapping"/>
            </w:r>
            <w:r>
              <w:rPr>
                <w:rFonts w:hint="eastAsia" w:asciiTheme="minorEastAsia" w:hAnsiTheme="minorEastAsia" w:eastAsiaTheme="minorEastAsia"/>
                <w:kern w:val="0"/>
                <w:sz w:val="18"/>
                <w:szCs w:val="18"/>
              </w:rPr>
              <w:t>10</w:t>
            </w: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rPr>
              <w:t>支持在线报表，可详细展示任务</w:t>
            </w:r>
            <w:r>
              <w:rPr>
                <w:rFonts w:hint="eastAsia" w:cs="宋体" w:asciiTheme="minorEastAsia" w:hAnsiTheme="minorEastAsia" w:eastAsiaTheme="minorEastAsia"/>
                <w:b/>
                <w:bCs/>
                <w:kern w:val="0"/>
                <w:sz w:val="18"/>
                <w:szCs w:val="18"/>
              </w:rPr>
              <w:t>综述</w:t>
            </w:r>
            <w:r>
              <w:rPr>
                <w:rFonts w:hint="eastAsia" w:asciiTheme="minorEastAsia" w:hAnsiTheme="minorEastAsia" w:eastAsiaTheme="minorEastAsia"/>
                <w:kern w:val="0"/>
                <w:sz w:val="18"/>
                <w:szCs w:val="18"/>
              </w:rPr>
              <w:t>信息、站点列表、漏洞列表、对比分析及参考标准，漏洞分布支持风险等级过滤查看</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1</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rPr>
                <w:rFonts w:cs="宋体" w:asciiTheme="minorEastAsia" w:hAnsiTheme="minorEastAsia" w:eastAsiaTheme="minorEastAsia"/>
                <w:kern w:val="0"/>
                <w:sz w:val="18"/>
                <w:szCs w:val="18"/>
              </w:rPr>
            </w:pPr>
            <w:r>
              <w:rPr>
                <w:rFonts w:hint="eastAsia" w:asciiTheme="minorEastAsia" w:hAnsiTheme="minorEastAsia" w:eastAsiaTheme="minorEastAsia"/>
                <w:kern w:val="0"/>
                <w:sz w:val="18"/>
                <w:szCs w:val="18"/>
              </w:rPr>
              <w:t>台</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用于内网漏洞扫描</w:t>
            </w:r>
          </w:p>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推荐品牌：深信服，天融信，奇安信</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8</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机柜</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42U服务器机柜</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尺寸：宽600mm，深1000mm，高2055mm。</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用于放置备份一体机和核心交换机</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c>
          <w:tcPr>
            <w:tcW w:w="42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9</w:t>
            </w:r>
          </w:p>
        </w:tc>
        <w:tc>
          <w:tcPr>
            <w:tcW w:w="674"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辅材</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w:t>
            </w:r>
          </w:p>
        </w:tc>
        <w:tc>
          <w:tcPr>
            <w:tcW w:w="538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spacing w:before="0" w:after="0"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千兆网线、光纤跳线、PUD插座等</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567"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批</w:t>
            </w:r>
          </w:p>
        </w:tc>
        <w:tc>
          <w:tcPr>
            <w:tcW w:w="850" w:type="dxa"/>
            <w:tcBorders>
              <w:top w:val="single" w:color="4F81BD" w:themeColor="accent1" w:sz="8" w:space="0"/>
              <w:bottom w:val="single" w:color="4F81BD" w:themeColor="accent1" w:sz="8" w:space="0"/>
              <w:right w:val="single" w:color="4F81BD" w:themeColor="accent1" w:sz="8" w:space="0"/>
              <w:insideH w:val="single" w:sz="8" w:space="0"/>
              <w:insideV w:val="single" w:sz="8" w:space="0"/>
            </w:tcBorders>
            <w:shd w:val="clear" w:color="auto" w:fill="D3DFEE" w:themeFill="accent1" w:themeFillTint="3F"/>
          </w:tcPr>
          <w:p>
            <w:pPr>
              <w:widowControl/>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w:t>
            </w:r>
          </w:p>
        </w:tc>
      </w:tr>
    </w:tbl>
    <w:p/>
    <w:p>
      <w:pPr>
        <w:snapToGrid w:val="0"/>
        <w:spacing w:line="520" w:lineRule="exact"/>
        <w:ind w:firstLine="3360" w:firstLineChars="1050"/>
        <w:rPr>
          <w:rFonts w:hint="eastAsia" w:ascii="仿宋" w:hAnsi="仿宋" w:eastAsia="仿宋" w:cs="仿宋_GB2312"/>
          <w:bCs/>
          <w:sz w:val="32"/>
          <w:szCs w:val="32"/>
        </w:rPr>
      </w:pPr>
    </w:p>
    <w:sectPr>
      <w:pgSz w:w="11906" w:h="16838"/>
      <w:pgMar w:top="1157"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kNzQ4ZWFiZmQ4NTRhOWRkZTk3YTMwMjlmMmZhYmUifQ=="/>
  </w:docVars>
  <w:rsids>
    <w:rsidRoot w:val="00D17D7B"/>
    <w:rsid w:val="000372DC"/>
    <w:rsid w:val="001058AB"/>
    <w:rsid w:val="00127D5E"/>
    <w:rsid w:val="002F72B4"/>
    <w:rsid w:val="004D256A"/>
    <w:rsid w:val="005525AA"/>
    <w:rsid w:val="00590D85"/>
    <w:rsid w:val="007B3191"/>
    <w:rsid w:val="009000A7"/>
    <w:rsid w:val="00954380"/>
    <w:rsid w:val="0096599E"/>
    <w:rsid w:val="00A24A4F"/>
    <w:rsid w:val="00BD21EB"/>
    <w:rsid w:val="00CE57CE"/>
    <w:rsid w:val="00CE5D31"/>
    <w:rsid w:val="00D175B0"/>
    <w:rsid w:val="00D17D7B"/>
    <w:rsid w:val="00D84765"/>
    <w:rsid w:val="00F02F3B"/>
    <w:rsid w:val="00F24959"/>
    <w:rsid w:val="0F3351BB"/>
    <w:rsid w:val="15B14D7D"/>
    <w:rsid w:val="1A682168"/>
    <w:rsid w:val="1F4B31AE"/>
    <w:rsid w:val="2BBF198C"/>
    <w:rsid w:val="375A4F1E"/>
    <w:rsid w:val="480D6DF5"/>
    <w:rsid w:val="4A4F5763"/>
    <w:rsid w:val="4F9077DA"/>
    <w:rsid w:val="52513199"/>
    <w:rsid w:val="54F03320"/>
    <w:rsid w:val="62460D9A"/>
    <w:rsid w:val="67D16E5B"/>
    <w:rsid w:val="688211FC"/>
    <w:rsid w:val="6DF636C8"/>
    <w:rsid w:val="6F827B34"/>
    <w:rsid w:val="7AF00333"/>
    <w:rsid w:val="7D53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xl67"/>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6">
    <w:name w:val="xl68"/>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0">
    <w:name w:val="浅色网格 - 强调文字颜色 11"/>
    <w:basedOn w:val="4"/>
    <w:qFormat/>
    <w:uiPriority w:val="62"/>
    <w:rPr>
      <w:rFonts w:ascii="Times New Roman" w:hAnsi="Times New Roman" w:eastAsia="宋体" w:cs="Times New Roman"/>
      <w:kern w:val="0"/>
      <w:sz w:val="20"/>
      <w:szCs w:val="20"/>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2271</Words>
  <Characters>2566</Characters>
  <Lines>18</Lines>
  <Paragraphs>5</Paragraphs>
  <TotalTime>0</TotalTime>
  <ScaleCrop>false</ScaleCrop>
  <LinksUpToDate>false</LinksUpToDate>
  <CharactersWithSpaces>2869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Mr.Bright.Future</cp:lastModifiedBy>
  <cp:lastPrinted>2022-06-17T10:34:00Z</cp:lastPrinted>
  <dcterms:modified xsi:type="dcterms:W3CDTF">2022-06-20T08:33:06Z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79B18DC978C84491B24F6D6AB71AB208</vt:lpwstr>
  </property>
</Properties>
</file>