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202</w:t>
      </w:r>
      <w:r>
        <w:rPr>
          <w:rFonts w:hint="eastAsia" w:ascii="小标宋" w:hAnsi="小标宋" w:eastAsia="小标宋" w:cs="小标宋"/>
          <w:bCs/>
          <w:sz w:val="44"/>
          <w:szCs w:val="44"/>
          <w:lang w:val="en-US" w:eastAsia="zh-CN"/>
        </w:rPr>
        <w:t>2</w:t>
      </w:r>
      <w:r>
        <w:rPr>
          <w:rFonts w:hint="eastAsia" w:ascii="小标宋" w:hAnsi="小标宋" w:eastAsia="小标宋" w:cs="小标宋"/>
          <w:bCs/>
          <w:sz w:val="44"/>
          <w:szCs w:val="44"/>
        </w:rPr>
        <w:t>年度25万元以下零星土建项目招标公告</w:t>
      </w:r>
    </w:p>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JG/ZB/SC2022-WWZL068</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w:t>
      </w:r>
      <w:bookmarkStart w:id="0" w:name="_GoBack"/>
      <w:bookmarkEnd w:id="0"/>
      <w:r>
        <w:rPr>
          <w:rFonts w:hint="eastAsia" w:ascii="仿宋" w:hAnsi="仿宋" w:eastAsia="仿宋" w:cs="仿宋"/>
          <w:b/>
          <w:bCs/>
          <w:kern w:val="0"/>
          <w:szCs w:val="32"/>
        </w:rPr>
        <w:t>数量、计划招标时间等</w:t>
      </w:r>
    </w:p>
    <w:p>
      <w:pPr>
        <w:spacing w:line="360" w:lineRule="exact"/>
        <w:ind w:firstLine="640" w:firstLineChars="200"/>
        <w:rPr>
          <w:rFonts w:ascii="仿宋" w:hAnsi="仿宋" w:eastAsia="仿宋" w:cs="仿宋"/>
          <w:bCs/>
          <w:kern w:val="0"/>
          <w:szCs w:val="32"/>
        </w:rPr>
      </w:pPr>
      <w:r>
        <w:rPr>
          <w:rFonts w:hint="eastAsia" w:ascii="仿宋" w:hAnsi="仿宋" w:eastAsia="仿宋" w:cs="仿宋"/>
          <w:szCs w:val="32"/>
        </w:rPr>
        <w:t>（一）</w:t>
      </w:r>
      <w:r>
        <w:rPr>
          <w:rFonts w:hint="eastAsia" w:ascii="仿宋" w:hAnsi="仿宋" w:eastAsia="仿宋" w:cs="仿宋"/>
          <w:bCs/>
          <w:kern w:val="0"/>
          <w:szCs w:val="32"/>
        </w:rPr>
        <w:t>招标项目名称：202</w:t>
      </w:r>
      <w:r>
        <w:rPr>
          <w:rFonts w:hint="eastAsia" w:ascii="仿宋" w:hAnsi="仿宋" w:eastAsia="仿宋" w:cs="仿宋"/>
          <w:bCs/>
          <w:kern w:val="0"/>
          <w:szCs w:val="32"/>
          <w:lang w:val="en-US" w:eastAsia="zh-CN"/>
        </w:rPr>
        <w:t>2</w:t>
      </w:r>
      <w:r>
        <w:rPr>
          <w:rFonts w:hint="eastAsia" w:ascii="仿宋" w:hAnsi="仿宋" w:eastAsia="仿宋" w:cs="仿宋"/>
          <w:bCs/>
          <w:kern w:val="0"/>
          <w:szCs w:val="32"/>
        </w:rPr>
        <w:t>年度25万元以下零星土建</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8"/>
        <w:gridCol w:w="2076"/>
        <w:gridCol w:w="6572"/>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零星土建（常规类）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算金额为全取费*（1-总价下浮比例），结算依据为竣工图纸及设计变更、经甲方计量后签证认可的工程量，执行2017版《江西省房屋建筑与装饰工程消耗量定额及统一基价表》《江西省通用安装工程消耗量定额及统一基价表》《江西省市政工程消耗量定额及统一基价表》《江西省建筑与装饰、通用安装、市政工程费用定额》；2006版《江西省园林工程消耗量定额及单位估价表》以及相应的费用定额；2000版《全国统一房屋修缮工程预算定额（江西省单位估价表）》以及相应的费用定额。其中人工工日单价调整按江西省住房和城乡建设厅发布的赣建价〔2018〕5号文执行，具体调整标准为：“（一）2017年12月1日之前颁布，目前尚在使用的建设工程定额：建筑、安装、市政、市政设施养护维修、城市轨道交通、房修和园林绿化工程定额综合工日单价调整为64元/工日；装饰、仿古建筑工程定额综合工日单价调整为78元/工日。（二）2017版建设工程定额：建筑、安装、市政工程定额综合工日单价调整为91元/工日；装饰工程定额综合工日单价调整为102元/工日。”施工材料：材料价格执行工程施工当期《江西省造价信息》对应工程所在地的材料价格。除塔吊外，其他机械设备均不计取大型机械基础铺拆费、进出场费、安拆费。人工或机械破除混凝土和砖砌体（含装车费，只取税金）、机械钻孔（钢筋混凝土结构钻孔，含税金）按价目表执行。工程采用商品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总价下浮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检修项目零星土建（有计划且提前24小时及以上提交的检修项目）人工费调整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根据实际施工量按定额计算工日，工日标准参照《江西省造价信息》当期当地相同工种人工单价。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人工或机械破除混凝土和砖砌体价目表（含装车费，只取税金）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-13335</wp:posOffset>
                  </wp:positionH>
                  <wp:positionV relativeFrom="paragraph">
                    <wp:posOffset>-18415</wp:posOffset>
                  </wp:positionV>
                  <wp:extent cx="4752975" cy="2499360"/>
                  <wp:effectExtent l="0" t="0" r="9525" b="15240"/>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5"/>
                          <a:stretch>
                            <a:fillRect/>
                          </a:stretch>
                        </pic:blipFill>
                        <pic:spPr>
                          <a:xfrm>
                            <a:off x="0" y="0"/>
                            <a:ext cx="4752975" cy="249936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18415</wp:posOffset>
                  </wp:positionH>
                  <wp:positionV relativeFrom="paragraph">
                    <wp:posOffset>2569845</wp:posOffset>
                  </wp:positionV>
                  <wp:extent cx="4756150" cy="1654175"/>
                  <wp:effectExtent l="0" t="0" r="6350" b="3175"/>
                  <wp:wrapNone/>
                  <wp:docPr id="7" name="图片_2"/>
                  <wp:cNvGraphicFramePr/>
                  <a:graphic xmlns:a="http://schemas.openxmlformats.org/drawingml/2006/main">
                    <a:graphicData uri="http://schemas.openxmlformats.org/drawingml/2006/picture">
                      <pic:pic xmlns:pic="http://schemas.openxmlformats.org/drawingml/2006/picture">
                        <pic:nvPicPr>
                          <pic:cNvPr id="7" name="图片_2"/>
                          <pic:cNvPicPr/>
                        </pic:nvPicPr>
                        <pic:blipFill>
                          <a:blip r:embed="rId6"/>
                          <a:stretch>
                            <a:fillRect/>
                          </a:stretch>
                        </pic:blipFill>
                        <pic:spPr>
                          <a:xfrm>
                            <a:off x="0" y="0"/>
                            <a:ext cx="4756150" cy="16541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机械钻孔价目表（钢筋混凝土结构钻孔，含税金）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税率按增值税9%计取，若遇国家税率调整，税率作相应调整。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                                                                                                                                                                                                                                一、严格按国家施工验收技术规范、建筑安装工程质量检验评定标准和设计图纸、施工说明书、设备说明书、设计变更等技术文件的相关要求施工。投标单位采购的主要材料，须经招标单位同意后方可进场，同时必须提供出厂合格证书或试验报告。                                                                                                                 二、以上施工项目及费用以实际验收数量为准进行结算付款。根据现场实际施工验收数量进行结算。土建项目质保期二年，防水项目质保期五年。                                                                                                                                                             三、付款方式：验收合格结算完成后中标单位根据结算书审定金额开具增值税专用发票，招标单位收到发票并经财务确认进账后支付结算款的90%；剩余10%作为质保金，质保期满凭书面报告确认双方无异议后，支付质保金。支付以6个月银行承兑汇票为准，招标单位支付低于6个月银行承兑汇票或现金，按招标单位财务每月公布的贴息利率收取中标单位资金占用费；招标单位开具发票，资金占用费在中标单位项目款中扣除。                                                                                                                                                                四、施工水、电费：按项目结算金额的1%计算，招标单位开具相应金额的增值税发票，由中标单位以现金方式支付给招标单位，若中标单位未及时支付，招标单位有权在中标单位货款中扣除，并按招标单位每月公布的贴息利率收取资金占用费。</w:t>
            </w:r>
          </w:p>
        </w:tc>
      </w:tr>
    </w:tbl>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 w:val="32"/>
          <w:szCs w:val="32"/>
        </w:rPr>
        <w:t>以招标</w:t>
      </w:r>
      <w:r>
        <w:rPr>
          <w:rFonts w:hint="eastAsia" w:ascii="仿宋" w:hAnsi="仿宋" w:eastAsia="仿宋" w:cs="仿宋"/>
          <w:bCs/>
          <w:kern w:val="0"/>
          <w:sz w:val="32"/>
          <w:szCs w:val="32"/>
          <w:lang w:val="en-US" w:eastAsia="zh-CN"/>
        </w:rPr>
        <w:t>单位</w:t>
      </w:r>
      <w:r>
        <w:rPr>
          <w:rFonts w:hint="eastAsia" w:ascii="仿宋" w:hAnsi="仿宋" w:eastAsia="仿宋" w:cs="仿宋"/>
          <w:bCs/>
          <w:kern w:val="0"/>
          <w:sz w:val="32"/>
          <w:szCs w:val="32"/>
        </w:rPr>
        <w:t>《任务</w:t>
      </w:r>
      <w:r>
        <w:rPr>
          <w:rFonts w:hint="eastAsia" w:ascii="仿宋" w:hAnsi="仿宋" w:eastAsia="仿宋" w:cs="仿宋"/>
          <w:bCs/>
          <w:kern w:val="0"/>
          <w:sz w:val="32"/>
          <w:szCs w:val="32"/>
          <w:lang w:val="en-US" w:eastAsia="zh-CN"/>
        </w:rPr>
        <w:t>接收确认</w:t>
      </w:r>
      <w:r>
        <w:rPr>
          <w:rFonts w:hint="eastAsia" w:ascii="仿宋" w:hAnsi="仿宋" w:eastAsia="仿宋" w:cs="仿宋"/>
          <w:bCs/>
          <w:kern w:val="0"/>
          <w:sz w:val="32"/>
          <w:szCs w:val="32"/>
        </w:rPr>
        <w:t>单》的数量为准</w:t>
      </w:r>
      <w:r>
        <w:rPr>
          <w:rFonts w:hint="eastAsia" w:ascii="仿宋" w:hAnsi="仿宋" w:eastAsia="仿宋" w:cs="仿宋"/>
          <w:bCs/>
          <w:kern w:val="0"/>
          <w:sz w:val="32"/>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17</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14</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合同签订生效执行期十二个月，以实际发生数量为准进行结算付款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（二）</w:t>
      </w:r>
      <w:r>
        <w:rPr>
          <w:rFonts w:hint="eastAsia" w:ascii="仿宋" w:hAnsi="仿宋" w:eastAsia="仿宋" w:cs="仿宋"/>
          <w:kern w:val="0"/>
          <w:szCs w:val="32"/>
          <w:lang w:val="en-US" w:eastAsia="zh-CN"/>
        </w:rPr>
        <w:t>具备建筑工程施工总承包三级及以上资质，安全生产许可</w:t>
      </w:r>
      <w:r>
        <w:rPr>
          <w:rFonts w:hint="eastAsia" w:ascii="仿宋" w:hAnsi="仿宋" w:eastAsia="仿宋" w:cs="仿宋"/>
          <w:kern w:val="0"/>
          <w:szCs w:val="32"/>
        </w:rPr>
        <w:t>证。</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三</w:t>
      </w:r>
      <w:r>
        <w:rPr>
          <w:rFonts w:hint="eastAsia" w:ascii="仿宋" w:hAnsi="仿宋" w:eastAsia="仿宋" w:cs="仿宋"/>
          <w:kern w:val="0"/>
          <w:szCs w:val="32"/>
          <w:lang w:eastAsia="zh-CN"/>
        </w:rPr>
        <w:t>）</w:t>
      </w:r>
      <w:r>
        <w:rPr>
          <w:rFonts w:hint="eastAsia" w:ascii="仿宋" w:hAnsi="仿宋" w:eastAsia="仿宋" w:cs="仿宋"/>
          <w:kern w:val="0"/>
          <w:szCs w:val="32"/>
        </w:rPr>
        <w:t>提供</w:t>
      </w:r>
      <w:r>
        <w:rPr>
          <w:rFonts w:hint="eastAsia" w:ascii="仿宋" w:hAnsi="仿宋" w:eastAsia="仿宋" w:cs="仿宋"/>
          <w:kern w:val="0"/>
          <w:szCs w:val="32"/>
          <w:lang w:val="en-US" w:eastAsia="zh-CN"/>
        </w:rPr>
        <w:t>两</w:t>
      </w:r>
      <w:r>
        <w:rPr>
          <w:rFonts w:hint="eastAsia" w:ascii="仿宋" w:hAnsi="仿宋" w:eastAsia="仿宋" w:cs="仿宋"/>
          <w:kern w:val="0"/>
          <w:szCs w:val="32"/>
        </w:rPr>
        <w:t>份</w:t>
      </w:r>
      <w:r>
        <w:rPr>
          <w:rFonts w:hint="eastAsia" w:ascii="仿宋" w:hAnsi="仿宋" w:eastAsia="仿宋" w:cs="仿宋"/>
          <w:kern w:val="0"/>
          <w:szCs w:val="32"/>
          <w:lang w:val="en-US" w:eastAsia="zh-CN"/>
        </w:rPr>
        <w:t>土建施工项目</w:t>
      </w:r>
      <w:r>
        <w:rPr>
          <w:rFonts w:hint="eastAsia" w:ascii="仿宋" w:hAnsi="仿宋" w:eastAsia="仿宋" w:cs="仿宋"/>
          <w:kern w:val="0"/>
          <w:szCs w:val="32"/>
        </w:rPr>
        <w:t>业绩合同</w:t>
      </w:r>
      <w:r>
        <w:rPr>
          <w:rFonts w:hint="eastAsia" w:ascii="仿宋" w:hAnsi="仿宋" w:eastAsia="仿宋" w:cs="仿宋"/>
          <w:kern w:val="0"/>
          <w:szCs w:val="32"/>
          <w:lang w:val="en-US" w:eastAsia="zh-CN"/>
        </w:rPr>
        <w:t>复印件</w:t>
      </w:r>
      <w:r>
        <w:rPr>
          <w:rFonts w:hint="eastAsia" w:ascii="仿宋" w:hAnsi="仿宋" w:eastAsia="仿宋" w:cs="仿宋"/>
          <w:kern w:val="0"/>
          <w:szCs w:val="32"/>
          <w:lang w:eastAsia="zh-CN"/>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（一）资质材料（加盖报名单位公章）：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1.最新年检有效的企业法人营业执照副本复印件，建筑工程施工总承包三级及以上资质，安全生产许可证。</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6.提供安全施工预案，两份土建施工项目业绩合同复印件。（上述资料需加盖报名单位公章）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20</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5</w:t>
      </w:r>
      <w:r>
        <w:rPr>
          <w:rFonts w:hint="eastAsia" w:ascii="仿宋" w:hAnsi="仿宋" w:eastAsia="仿宋" w:cs="仿宋"/>
          <w:kern w:val="0"/>
          <w:szCs w:val="32"/>
        </w:rPr>
        <w:t>月</w:t>
      </w:r>
      <w:r>
        <w:rPr>
          <w:rFonts w:hint="eastAsia" w:ascii="仿宋" w:hAnsi="仿宋" w:eastAsia="仿宋" w:cs="仿宋"/>
          <w:kern w:val="0"/>
          <w:szCs w:val="32"/>
          <w:lang w:val="en-US" w:eastAsia="zh-CN"/>
        </w:rPr>
        <w:t>31</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仿宋" w:hAnsi="仿宋" w:eastAsia="仿宋"/>
          <w:szCs w:val="32"/>
        </w:rPr>
      </w:pPr>
    </w:p>
    <w:sectPr>
      <w:footerReference r:id="rId3" w:type="default"/>
      <w:pgSz w:w="11906" w:h="16838"/>
      <w:pgMar w:top="567" w:right="850" w:bottom="567" w:left="850"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44E0523"/>
    <w:rsid w:val="047C6297"/>
    <w:rsid w:val="05E71DD2"/>
    <w:rsid w:val="063D7E92"/>
    <w:rsid w:val="07F43F20"/>
    <w:rsid w:val="0A463743"/>
    <w:rsid w:val="0D4F18A0"/>
    <w:rsid w:val="0DEA74AB"/>
    <w:rsid w:val="0E663E2F"/>
    <w:rsid w:val="111950A1"/>
    <w:rsid w:val="11205D80"/>
    <w:rsid w:val="13613D47"/>
    <w:rsid w:val="15294371"/>
    <w:rsid w:val="158F1D1C"/>
    <w:rsid w:val="19574585"/>
    <w:rsid w:val="1A45745C"/>
    <w:rsid w:val="1B1A3E7B"/>
    <w:rsid w:val="1C156FDD"/>
    <w:rsid w:val="1CCB1D67"/>
    <w:rsid w:val="1F6F10D0"/>
    <w:rsid w:val="224F0CB9"/>
    <w:rsid w:val="23E517E3"/>
    <w:rsid w:val="244C5333"/>
    <w:rsid w:val="24ED1D7C"/>
    <w:rsid w:val="2C0474D9"/>
    <w:rsid w:val="2D91556D"/>
    <w:rsid w:val="2DB66F7C"/>
    <w:rsid w:val="333326C5"/>
    <w:rsid w:val="336A3DEE"/>
    <w:rsid w:val="34442E37"/>
    <w:rsid w:val="35283941"/>
    <w:rsid w:val="35B331C5"/>
    <w:rsid w:val="363D1FD8"/>
    <w:rsid w:val="37A706A2"/>
    <w:rsid w:val="37DE7AF1"/>
    <w:rsid w:val="3828068F"/>
    <w:rsid w:val="399504CA"/>
    <w:rsid w:val="3B80099C"/>
    <w:rsid w:val="3D0D4D0E"/>
    <w:rsid w:val="3DCF7175"/>
    <w:rsid w:val="3E35748B"/>
    <w:rsid w:val="3E773888"/>
    <w:rsid w:val="3E897C51"/>
    <w:rsid w:val="40386E25"/>
    <w:rsid w:val="455712B1"/>
    <w:rsid w:val="4689585C"/>
    <w:rsid w:val="470B6D81"/>
    <w:rsid w:val="4DEF1745"/>
    <w:rsid w:val="4DFA26DB"/>
    <w:rsid w:val="4F4003CF"/>
    <w:rsid w:val="50FB5B77"/>
    <w:rsid w:val="535E196B"/>
    <w:rsid w:val="53AF291F"/>
    <w:rsid w:val="54B11476"/>
    <w:rsid w:val="565B421E"/>
    <w:rsid w:val="59570D64"/>
    <w:rsid w:val="5CB7558D"/>
    <w:rsid w:val="5E2547BF"/>
    <w:rsid w:val="63D23ADB"/>
    <w:rsid w:val="64C91E27"/>
    <w:rsid w:val="650643D4"/>
    <w:rsid w:val="66BF1D1F"/>
    <w:rsid w:val="67DE7169"/>
    <w:rsid w:val="6FBB70C4"/>
    <w:rsid w:val="70F63687"/>
    <w:rsid w:val="722F7429"/>
    <w:rsid w:val="724104EE"/>
    <w:rsid w:val="74356A86"/>
    <w:rsid w:val="74ED70FF"/>
    <w:rsid w:val="78AD3ED3"/>
    <w:rsid w:val="79CD41DC"/>
    <w:rsid w:val="7A5556D3"/>
    <w:rsid w:val="7BE62355"/>
    <w:rsid w:val="7BED1C31"/>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仿宋_GB2312" w:cs="Times New Roman"/>
      <w:sz w:val="18"/>
      <w:szCs w:val="18"/>
    </w:rPr>
  </w:style>
  <w:style w:type="character" w:customStyle="1" w:styleId="7">
    <w:name w:val="页脚 字符"/>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3711</Words>
  <Characters>4012</Characters>
  <Lines>29</Lines>
  <Paragraphs>8</Paragraphs>
  <TotalTime>8</TotalTime>
  <ScaleCrop>false</ScaleCrop>
  <LinksUpToDate>false</LinksUpToDate>
  <CharactersWithSpaces>4735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丫ζ，阿猫呢？</cp:lastModifiedBy>
  <cp:lastPrinted>2022-05-31T00:03:00Z</cp:lastPrinted>
  <dcterms:modified xsi:type="dcterms:W3CDTF">2022-05-31T09:35:16Z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AA8454351B064600984111FDFB3B822D</vt:lpwstr>
  </property>
</Properties>
</file>