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spacing w:line="400" w:lineRule="exact"/>
        <w:jc w:val="center"/>
        <w:rPr>
          <w:rFonts w:ascii="仿宋" w:hAnsi="仿宋" w:eastAsia="仿宋"/>
          <w:b/>
          <w:sz w:val="28"/>
          <w:szCs w:val="44"/>
        </w:rPr>
      </w:pPr>
    </w:p>
    <w:p>
      <w:pPr>
        <w:spacing w:line="40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G302</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w:t>
      </w:r>
      <w:r>
        <w:rPr>
          <w:rFonts w:hint="eastAsia" w:ascii="仿宋" w:hAnsi="仿宋" w:eastAsia="仿宋" w:cs="仿宋_GB2312"/>
          <w:sz w:val="24"/>
        </w:rPr>
        <w:t xml:space="preserve"> </w:t>
      </w:r>
      <w:r>
        <w:rPr>
          <w:rFonts w:hint="eastAsia" w:ascii="仿宋" w:hAnsi="仿宋" w:eastAsia="仿宋" w:cs="仿宋_GB2312"/>
          <w:kern w:val="0"/>
          <w:sz w:val="32"/>
          <w:szCs w:val="32"/>
        </w:rPr>
        <w:t>高线设备状态监测系统采购。</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（二）招标采购数量：单次。</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（三）技术要求：符合国家、行业最新标准规范，满足需方现场要求。</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（四）计划招标时间：2022年9月上旬（具体以招标说明书为准）。</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（五）报名截止时间：2022年9月6日。</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00" w:lineRule="exact"/>
        <w:ind w:firstLine="960" w:firstLineChars="300"/>
        <w:rPr>
          <w:rFonts w:ascii="仿宋" w:hAnsi="仿宋" w:eastAsia="仿宋" w:cs="仿宋_GB2312"/>
          <w:kern w:val="0"/>
          <w:sz w:val="32"/>
          <w:szCs w:val="32"/>
        </w:rPr>
      </w:pPr>
      <w:r>
        <w:rPr>
          <w:rFonts w:hint="eastAsia" w:ascii="仿宋" w:hAnsi="仿宋" w:eastAsia="仿宋" w:cs="仿宋_GB2312"/>
          <w:kern w:val="0"/>
          <w:sz w:val="32"/>
          <w:szCs w:val="32"/>
        </w:rPr>
        <w:t>具有独立法人资格或其他组织的生产厂家或中间商（成立一年以上）。</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widowControl/>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widowControl/>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4.近5年具有安装、调试3条及以上轧钢整体轧制线设备状态监测系统的业绩, 提供类似产品业绩合同证明及验收完成凭证或结算凭证不少于2份。</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w:t>
      </w:r>
      <w:bookmarkStart w:id="0" w:name="_GoBack"/>
      <w:bookmarkEnd w:id="0"/>
      <w:r>
        <w:rPr>
          <w:rFonts w:hint="eastAsia" w:ascii="仿宋" w:hAnsi="仿宋" w:eastAsia="仿宋" w:cs="仿宋_GB2312"/>
          <w:kern w:val="0"/>
          <w:sz w:val="32"/>
          <w:szCs w:val="32"/>
        </w:rPr>
        <w:t>件至agqhb@pxsteel.com，发邮件时请注明邮件主题名称：XXXX公司报名高线设备状态监测系统采购。项目招标资质文件。网上报名如不按此要求发送邮件，招标方对邮件遗失所造成的后果不负任何责任。</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10000元）、投标报名费（200元）等。中标单位的投标保证金自动转为履约保证金，履约保证金按标的金额的5%收取，多退少补。未中标单位的投标保证金在宣标后十五个工作日内一次性返还（无息）。开票信息如下：</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w:t>
      </w:r>
      <w:r>
        <w:rPr>
          <w:rFonts w:hint="eastAsia" w:ascii="仿宋" w:hAnsi="仿宋" w:eastAsia="仿宋"/>
          <w:sz w:val="32"/>
          <w:szCs w:val="32"/>
        </w:rPr>
        <w:t>中国建设银行股份有限公司萍乡湘东支行</w:t>
      </w:r>
    </w:p>
    <w:p>
      <w:pPr>
        <w:spacing w:line="400" w:lineRule="exact"/>
        <w:ind w:firstLine="640" w:firstLineChars="200"/>
        <w:rPr>
          <w:rFonts w:ascii="仿宋" w:hAnsi="仿宋" w:eastAsia="仿宋"/>
          <w:sz w:val="32"/>
          <w:szCs w:val="32"/>
        </w:rPr>
      </w:pPr>
      <w:r>
        <w:rPr>
          <w:rFonts w:hint="eastAsia" w:ascii="仿宋" w:hAnsi="仿宋" w:eastAsia="仿宋" w:cs="仿宋_GB2312"/>
          <w:kern w:val="0"/>
          <w:sz w:val="32"/>
          <w:szCs w:val="32"/>
        </w:rPr>
        <w:t>账号：</w:t>
      </w:r>
      <w:r>
        <w:rPr>
          <w:rFonts w:hint="eastAsia" w:ascii="仿宋" w:hAnsi="仿宋" w:eastAsia="仿宋"/>
          <w:sz w:val="32"/>
          <w:szCs w:val="32"/>
        </w:rPr>
        <w:t>36001752010052504776</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（二）招标项目业务负责人及联系方式：丁芳勇18870595181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  0799-6356077</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w:t>
      </w:r>
      <w:r>
        <w:rPr>
          <w:rFonts w:hint="eastAsia" w:ascii="仿宋" w:hAnsi="仿宋" w:eastAsia="仿宋"/>
          <w:sz w:val="32"/>
          <w:szCs w:val="32"/>
        </w:rPr>
        <w:t>石女士 0799－6356116</w:t>
      </w:r>
    </w:p>
    <w:p>
      <w:pPr>
        <w:spacing w:line="400" w:lineRule="exact"/>
        <w:ind w:firstLine="640" w:firstLineChars="200"/>
        <w:rPr>
          <w:rFonts w:ascii="仿宋" w:hAnsi="仿宋" w:eastAsia="仿宋" w:cs="仿宋_GB2312"/>
          <w:kern w:val="0"/>
          <w:sz w:val="32"/>
          <w:szCs w:val="32"/>
        </w:rPr>
      </w:pPr>
    </w:p>
    <w:p>
      <w:pPr>
        <w:spacing w:line="400" w:lineRule="exact"/>
        <w:ind w:firstLine="640" w:firstLineChars="200"/>
        <w:rPr>
          <w:rFonts w:ascii="仿宋" w:hAnsi="仿宋" w:eastAsia="仿宋" w:cs="仿宋_GB2312"/>
          <w:kern w:val="0"/>
          <w:sz w:val="32"/>
          <w:szCs w:val="32"/>
        </w:rPr>
      </w:pPr>
    </w:p>
    <w:p>
      <w:pPr>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萍乡萍钢安源钢铁有限公司</w:t>
      </w:r>
    </w:p>
    <w:p>
      <w:pPr>
        <w:snapToGrid w:val="0"/>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公告时间：2022年8月30日</w:t>
      </w:r>
    </w:p>
    <w:p>
      <w:pPr>
        <w:snapToGrid w:val="0"/>
        <w:spacing w:line="500" w:lineRule="exact"/>
        <w:rPr>
          <w:rFonts w:ascii="仿宋" w:hAnsi="仿宋" w:eastAsia="仿宋" w:cs="仿宋_GB2312"/>
          <w:kern w:val="0"/>
          <w:sz w:val="32"/>
          <w:szCs w:val="32"/>
        </w:rPr>
      </w:pPr>
    </w:p>
    <w:p/>
    <w:p>
      <w:pPr>
        <w:rPr>
          <w:rFonts w:ascii="小标宋" w:hAnsi="仿宋" w:eastAsia="小标宋"/>
          <w:sz w:val="36"/>
          <w:szCs w:val="36"/>
        </w:rPr>
      </w:pPr>
    </w:p>
    <w:p>
      <w:pPr>
        <w:rPr>
          <w:rFonts w:ascii="小标宋" w:hAnsi="仿宋" w:eastAsia="小标宋"/>
          <w:sz w:val="36"/>
          <w:szCs w:val="36"/>
        </w:rPr>
      </w:pPr>
    </w:p>
    <w:p>
      <w:pPr>
        <w:jc w:val="center"/>
        <w:rPr>
          <w:b/>
          <w:color w:val="000000" w:themeColor="text1"/>
          <w:sz w:val="48"/>
          <w:szCs w:val="48"/>
        </w:rPr>
      </w:pPr>
      <w:r>
        <w:rPr>
          <w:rFonts w:hint="eastAsia"/>
          <w:b/>
          <w:color w:val="000000" w:themeColor="text1"/>
          <w:sz w:val="48"/>
          <w:szCs w:val="48"/>
        </w:rPr>
        <w:t>安源轧钢厂高线设备状态监测系统   招标技术要求</w:t>
      </w:r>
    </w:p>
    <w:p>
      <w:pPr>
        <w:pStyle w:val="2"/>
        <w:spacing w:beforeLines="100" w:line="340" w:lineRule="exact"/>
        <w:rPr>
          <w:rFonts w:ascii="仿宋" w:hAnsi="仿宋" w:eastAsia="仿宋"/>
          <w:color w:val="000000" w:themeColor="text1"/>
          <w:sz w:val="32"/>
        </w:rPr>
      </w:pPr>
    </w:p>
    <w:p>
      <w:pPr>
        <w:pStyle w:val="2"/>
        <w:spacing w:beforeLines="100" w:line="340" w:lineRule="exact"/>
        <w:rPr>
          <w:rFonts w:ascii="仿宋" w:hAnsi="仿宋" w:eastAsia="仿宋"/>
          <w:color w:val="000000" w:themeColor="text1"/>
          <w:sz w:val="32"/>
        </w:rPr>
      </w:pPr>
      <w:r>
        <w:rPr>
          <w:rFonts w:hint="eastAsia" w:ascii="仿宋" w:hAnsi="仿宋" w:eastAsia="仿宋"/>
          <w:color w:val="000000" w:themeColor="text1"/>
          <w:sz w:val="32"/>
        </w:rPr>
        <w:t>一、招标范围</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本次系统建设以安源轧钢厂高线车间关键设备为主，在高线生产区域合计46套设备布置241套振动加速度传感器、26套电机工况传感器，有线采集站测点配置不低于以下最低要求进行施工，详见下表（仅供参考）：</w:t>
      </w:r>
    </w:p>
    <w:tbl>
      <w:tblPr>
        <w:tblStyle w:val="7"/>
        <w:tblpPr w:leftFromText="180" w:rightFromText="180" w:vertAnchor="text" w:horzAnchor="margin" w:tblpXSpec="center" w:tblpY="513"/>
        <w:tblOverlap w:val="never"/>
        <w:tblW w:w="8266" w:type="dxa"/>
        <w:tblInd w:w="0" w:type="dxa"/>
        <w:tblLayout w:type="fixed"/>
        <w:tblCellMar>
          <w:top w:w="0" w:type="dxa"/>
          <w:left w:w="0" w:type="dxa"/>
          <w:bottom w:w="0" w:type="dxa"/>
          <w:right w:w="0" w:type="dxa"/>
        </w:tblCellMar>
      </w:tblPr>
      <w:tblGrid>
        <w:gridCol w:w="553"/>
        <w:gridCol w:w="1412"/>
        <w:gridCol w:w="869"/>
        <w:gridCol w:w="760"/>
        <w:gridCol w:w="653"/>
        <w:gridCol w:w="869"/>
        <w:gridCol w:w="1412"/>
        <w:gridCol w:w="652"/>
        <w:gridCol w:w="1086"/>
      </w:tblGrid>
      <w:tr>
        <w:tblPrEx>
          <w:tblCellMar>
            <w:top w:w="0" w:type="dxa"/>
            <w:left w:w="0" w:type="dxa"/>
            <w:bottom w:w="0" w:type="dxa"/>
            <w:right w:w="0" w:type="dxa"/>
          </w:tblCellMar>
        </w:tblPrEx>
        <w:trPr>
          <w:trHeight w:val="555"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序号</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设备名称</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数量</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监测部件</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监测方式</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采集站</w:t>
            </w:r>
            <w:r>
              <w:rPr>
                <w:rFonts w:hint="eastAsia" w:ascii="仿宋" w:hAnsi="仿宋" w:eastAsia="仿宋" w:cs="宋体"/>
                <w:b/>
                <w:bCs/>
                <w:color w:val="000000" w:themeColor="text1"/>
                <w:sz w:val="24"/>
                <w:szCs w:val="24"/>
              </w:rPr>
              <w:br w:type="textWrapping"/>
            </w:r>
            <w:r>
              <w:rPr>
                <w:rFonts w:hint="eastAsia" w:ascii="仿宋" w:hAnsi="仿宋" w:eastAsia="仿宋" w:cs="宋体"/>
                <w:b/>
                <w:bCs/>
                <w:color w:val="000000" w:themeColor="text1"/>
                <w:sz w:val="24"/>
                <w:szCs w:val="24"/>
              </w:rPr>
              <w:t>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电机工况传感器</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测点数</w:t>
            </w:r>
          </w:p>
        </w:tc>
      </w:tr>
      <w:tr>
        <w:tblPrEx>
          <w:tblCellMar>
            <w:top w:w="0" w:type="dxa"/>
            <w:left w:w="0" w:type="dxa"/>
            <w:bottom w:w="0" w:type="dxa"/>
            <w:right w:w="0" w:type="dxa"/>
          </w:tblCellMar>
        </w:tblPrEx>
        <w:trPr>
          <w:trHeight w:val="27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粗轧机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47</w:t>
            </w:r>
          </w:p>
        </w:tc>
      </w:tr>
      <w:tr>
        <w:tblPrEx>
          <w:tblCellMar>
            <w:top w:w="0" w:type="dxa"/>
            <w:left w:w="0" w:type="dxa"/>
            <w:bottom w:w="0" w:type="dxa"/>
            <w:right w:w="0" w:type="dxa"/>
          </w:tblCellMar>
        </w:tblPrEx>
        <w:trPr>
          <w:trHeight w:val="265"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中轧机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8</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52</w:t>
            </w:r>
          </w:p>
        </w:tc>
      </w:tr>
      <w:tr>
        <w:tblPrEx>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A线预精轧</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24</w:t>
            </w:r>
          </w:p>
        </w:tc>
      </w:tr>
      <w:tr>
        <w:tblPrEx>
          <w:tblCellMar>
            <w:top w:w="0" w:type="dxa"/>
            <w:left w:w="0" w:type="dxa"/>
            <w:bottom w:w="0" w:type="dxa"/>
            <w:right w:w="0" w:type="dxa"/>
          </w:tblCellMar>
        </w:tblPrEx>
        <w:trPr>
          <w:trHeight w:val="343"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A线精轧主传动</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12</w:t>
            </w:r>
          </w:p>
        </w:tc>
      </w:tr>
      <w:tr>
        <w:tblPrEx>
          <w:tblCellMar>
            <w:top w:w="0" w:type="dxa"/>
            <w:left w:w="0" w:type="dxa"/>
            <w:bottom w:w="0" w:type="dxa"/>
            <w:right w:w="0" w:type="dxa"/>
          </w:tblCellMar>
        </w:tblPrEx>
        <w:trPr>
          <w:trHeight w:val="30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A线锥箱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30</w:t>
            </w:r>
          </w:p>
        </w:tc>
      </w:tr>
      <w:tr>
        <w:tblPrEx>
          <w:tblCellMar>
            <w:top w:w="0" w:type="dxa"/>
            <w:left w:w="0" w:type="dxa"/>
            <w:bottom w:w="0" w:type="dxa"/>
            <w:right w:w="0" w:type="dxa"/>
          </w:tblCellMar>
        </w:tblPrEx>
        <w:trPr>
          <w:trHeight w:val="374"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A线吐丝机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吐丝箱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w:t>
            </w:r>
          </w:p>
        </w:tc>
      </w:tr>
      <w:tr>
        <w:tblPrEx>
          <w:tblCellMar>
            <w:top w:w="0" w:type="dxa"/>
            <w:left w:w="0" w:type="dxa"/>
            <w:bottom w:w="0" w:type="dxa"/>
            <w:right w:w="0" w:type="dxa"/>
          </w:tblCellMar>
        </w:tblPrEx>
        <w:trPr>
          <w:trHeight w:val="374"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7</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B线预精轧</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24</w:t>
            </w:r>
          </w:p>
        </w:tc>
      </w:tr>
      <w:tr>
        <w:tblPrEx>
          <w:tblCellMar>
            <w:top w:w="0" w:type="dxa"/>
            <w:left w:w="0" w:type="dxa"/>
            <w:bottom w:w="0" w:type="dxa"/>
            <w:right w:w="0" w:type="dxa"/>
          </w:tblCellMar>
        </w:tblPrEx>
        <w:trPr>
          <w:trHeight w:val="299"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8</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B线精轧主传动</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12</w:t>
            </w:r>
          </w:p>
        </w:tc>
      </w:tr>
      <w:tr>
        <w:tblPrEx>
          <w:tblCellMar>
            <w:top w:w="0" w:type="dxa"/>
            <w:left w:w="0" w:type="dxa"/>
            <w:bottom w:w="0" w:type="dxa"/>
            <w:right w:w="0" w:type="dxa"/>
          </w:tblCellMar>
        </w:tblPrEx>
        <w:trPr>
          <w:trHeight w:val="356"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9</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B线锥箱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30</w:t>
            </w:r>
          </w:p>
        </w:tc>
      </w:tr>
      <w:tr>
        <w:tblPrEx>
          <w:tblCellMar>
            <w:top w:w="0" w:type="dxa"/>
            <w:left w:w="0" w:type="dxa"/>
            <w:bottom w:w="0" w:type="dxa"/>
            <w:right w:w="0" w:type="dxa"/>
          </w:tblCellMar>
        </w:tblPrEx>
        <w:trPr>
          <w:trHeight w:val="356"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10</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B线吐丝机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吐丝箱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有线</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各厂家自行配置</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w:t>
            </w:r>
          </w:p>
        </w:tc>
      </w:tr>
      <w:tr>
        <w:tblPrEx>
          <w:tblCellMar>
            <w:top w:w="0" w:type="dxa"/>
            <w:left w:w="0" w:type="dxa"/>
            <w:bottom w:w="0" w:type="dxa"/>
            <w:right w:w="0" w:type="dxa"/>
          </w:tblCellMar>
        </w:tblPrEx>
        <w:trPr>
          <w:trHeight w:val="407"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合计</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46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3"/>
              <w:spacing w:line="400" w:lineRule="exact"/>
              <w:jc w:val="center"/>
              <w:rPr>
                <w:rFonts w:ascii="仿宋" w:hAnsi="仿宋" w:eastAsia="仿宋" w:cs="宋体"/>
                <w:b/>
                <w:bCs/>
                <w:color w:val="000000" w:themeColor="text1"/>
                <w:sz w:val="24"/>
                <w:szCs w:val="24"/>
              </w:rPr>
            </w:pPr>
            <w:r>
              <w:rPr>
                <w:rFonts w:hint="eastAsia" w:ascii="仿宋" w:hAnsi="仿宋" w:eastAsia="仿宋" w:cs="宋体"/>
                <w:b/>
                <w:bCs/>
                <w:color w:val="000000" w:themeColor="text1"/>
                <w:sz w:val="24"/>
                <w:szCs w:val="24"/>
              </w:rPr>
              <w:t>241</w:t>
            </w:r>
          </w:p>
        </w:tc>
      </w:tr>
    </w:tbl>
    <w:p>
      <w:pPr>
        <w:pStyle w:val="2"/>
        <w:spacing w:beforeLines="100" w:line="340" w:lineRule="exact"/>
        <w:rPr>
          <w:rFonts w:ascii="仿宋" w:hAnsi="仿宋" w:eastAsia="仿宋"/>
          <w:color w:val="000000" w:themeColor="text1"/>
          <w:sz w:val="32"/>
        </w:rPr>
      </w:pPr>
      <w:r>
        <w:rPr>
          <w:rFonts w:hint="eastAsia" w:ascii="仿宋" w:hAnsi="仿宋" w:eastAsia="仿宋"/>
          <w:color w:val="000000" w:themeColor="text1"/>
          <w:sz w:val="32"/>
        </w:rPr>
        <w:t>二、招标技术要求</w:t>
      </w:r>
    </w:p>
    <w:p>
      <w:pPr>
        <w:spacing w:line="500" w:lineRule="exact"/>
        <w:ind w:firstLine="640"/>
        <w:rPr>
          <w:rFonts w:ascii="仿宋" w:hAnsi="仿宋" w:eastAsia="仿宋" w:cs="宋体"/>
          <w:sz w:val="32"/>
          <w:szCs w:val="32"/>
        </w:rPr>
      </w:pPr>
      <w:r>
        <w:rPr>
          <w:rFonts w:hint="eastAsia" w:ascii="仿宋" w:hAnsi="仿宋" w:eastAsia="仿宋" w:cs="宋体"/>
          <w:color w:val="000000" w:themeColor="text1"/>
          <w:sz w:val="32"/>
          <w:szCs w:val="32"/>
        </w:rPr>
        <w:t>（一）</w:t>
      </w:r>
      <w:r>
        <w:rPr>
          <w:rFonts w:hint="eastAsia" w:ascii="仿宋" w:hAnsi="仿宋" w:eastAsia="仿宋"/>
          <w:color w:val="000000" w:themeColor="text1"/>
          <w:sz w:val="32"/>
          <w:szCs w:val="32"/>
        </w:rPr>
        <w:t>最近5年具有安装、调试3条及以上轧钢整体轧制线设备状态监测系统的总承包业绩</w:t>
      </w:r>
      <w:r>
        <w:rPr>
          <w:rFonts w:hint="eastAsia" w:ascii="仿宋" w:hAnsi="仿宋" w:eastAsia="仿宋"/>
          <w:sz w:val="32"/>
          <w:szCs w:val="32"/>
        </w:rPr>
        <w:t>,提供类似产品业绩合同证明及验收完成凭证或结算凭证不少于2份。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具有全面的有针对性的分析诊断功能，满足诊断设备各种转子类故障（基础松动、不平衡、不对中、轴弯曲、轴裂纹、共振、转子与静止件摩擦、转子过盈配合件过盈不足、密封和间隙动力失稳）、轴承类故障（轴承磨损、轴承点蚀、轴承缺油）、齿轮箱类故障（齿轮磨损、齿轮偏心、齿轮齿距误差过大）、联轴器故障（联轴器磨损、撕裂）等各种机械故障。</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三）系统能够对机组进行持续的在线振动监测，可自动设置振动测量参数和报警值，且允许用户自定义，并对异常状态及时做出报警。系统具备基于国际振动标准(ISO-10816)设置报警门限功能；经过一段时间的数据积累之后，系统可设置新的报警门限。能避免反复穿越报警线、重复报警问题，避免大量无谓报警的问题，并且不遗漏真实趋势增长报警。经过一段时间的数据积累之后，系统可根据设备的当前状态自动设置相应门限值；如设备有劣化过程，通过修改报警门限把控设备的劣化趋势。</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四）对设备隐患进行智能报警，用屏幕上异常点变色方式进行报警值根据该设备运行情况确定，故障测点状态趋势跟踪，可联接到测点趋势图和频谱，对异常设备进行重点跟踪监视,提出监测诊断结论，为制定检修方案提供依据。 </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五）提供进行设备故障诊断的相关工具（设备运行趋势图、频率-包络趋势、波形图、频谱图、倒谱、包络解调，多时域波形，多时域频谱，通道温度等分析方法。系统需提供自动特征频率计算：可根据结构参数计算出轴承、电机等多种零部件的特征频率，且可方便地标注在谱图上。</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（六）支持多类型数据采集策略，如同步振动采集、定时采集以及异常状态下的加密采集，避免故障数据的遗漏；最长采集波形长度2</w:t>
      </w:r>
      <w:r>
        <w:rPr>
          <w:rFonts w:ascii="仿宋" w:hAnsi="仿宋" w:eastAsia="仿宋" w:cs="宋体"/>
          <w:color w:val="000000" w:themeColor="text1"/>
          <w:sz w:val="32"/>
          <w:szCs w:val="32"/>
        </w:rPr>
        <w:t>M</w:t>
      </w:r>
      <w:r>
        <w:rPr>
          <w:rFonts w:hint="eastAsia" w:ascii="仿宋" w:hAnsi="仿宋" w:eastAsia="仿宋" w:cs="宋体"/>
          <w:color w:val="000000" w:themeColor="text1"/>
          <w:sz w:val="32"/>
          <w:szCs w:val="32"/>
        </w:rPr>
        <w:t>。原始数据保存6个月，且可以长期智能稀释、保留5年内的有效数据，设备运行趋势曲线、异常状态及处理履历等长期存留，且采集站具有黑匣子自动记忆功能，支持断网断电以后的自动存储功能，待设备恢复供电数据上传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七）所有振动传感器保证信号的采样精度，确定传感器在设备上实测的最佳位置，有线传感器可采集关键设备轴承箱径向、轴向的振动加速度、速度信号，同时采集关键设备轴承箱壳体温度，实现每个测点的振动和温度趋势变化监测。且除精轧机锥箱以外的设备振动传感器结构形式采用直角∟形状传感器，禁止采用水平不带拐角传感器，防止电缆接头断裂；精轧区域传感器采用传感器与线缆接头全密封形式的一体式传感器，防止传感器拆卸接触油水、蒸汽等损坏的情况。</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（八）电机工况传感器具备恒流供电、增益可调、支持接入振动通道，可监测电机待载、空载运行情况；</w:t>
      </w:r>
      <w:r>
        <w:rPr>
          <w:rFonts w:ascii="仿宋" w:hAnsi="仿宋" w:eastAsia="仿宋" w:cs="宋体"/>
          <w:color w:val="000000" w:themeColor="text1"/>
          <w:sz w:val="32"/>
          <w:szCs w:val="32"/>
        </w:rPr>
        <w:t>转速识别，支持阶次分析</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区分设备带载、空载工况；安装</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运维便捷</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可不停机安装及维护</w:t>
      </w:r>
      <w:r>
        <w:rPr>
          <w:rFonts w:hint="eastAsia" w:ascii="仿宋" w:hAnsi="仿宋" w:eastAsia="仿宋" w:cs="宋体"/>
          <w:color w:val="000000" w:themeColor="text1"/>
          <w:sz w:val="32"/>
          <w:szCs w:val="32"/>
        </w:rPr>
        <w:t>；设备需适应环境温度范围：-10℃～200℃；传感器需具备防水、防油、防尘、防雾等功能。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（九）具有手机A</w:t>
      </w:r>
      <w:r>
        <w:rPr>
          <w:rFonts w:ascii="仿宋" w:hAnsi="仿宋" w:eastAsia="仿宋" w:cs="宋体"/>
          <w:color w:val="000000" w:themeColor="text1"/>
          <w:sz w:val="32"/>
          <w:szCs w:val="32"/>
        </w:rPr>
        <w:t>PP</w:t>
      </w:r>
      <w:r>
        <w:rPr>
          <w:rFonts w:hint="eastAsia" w:ascii="仿宋" w:hAnsi="仿宋" w:eastAsia="仿宋" w:cs="宋体"/>
          <w:color w:val="000000" w:themeColor="text1"/>
          <w:sz w:val="32"/>
          <w:szCs w:val="32"/>
        </w:rPr>
        <w:t>查阅功能支持I</w:t>
      </w:r>
      <w:r>
        <w:rPr>
          <w:rFonts w:ascii="仿宋" w:hAnsi="仿宋" w:eastAsia="仿宋" w:cs="宋体"/>
          <w:color w:val="000000" w:themeColor="text1"/>
          <w:sz w:val="32"/>
          <w:szCs w:val="32"/>
        </w:rPr>
        <w:t>SO/Android</w:t>
      </w:r>
      <w:r>
        <w:rPr>
          <w:rFonts w:hint="eastAsia" w:ascii="仿宋" w:hAnsi="仿宋" w:eastAsia="仿宋" w:cs="宋体"/>
          <w:color w:val="000000" w:themeColor="text1"/>
          <w:sz w:val="32"/>
          <w:szCs w:val="32"/>
        </w:rPr>
        <w:t>。具备移动端设备管理功能:通过安装移动客户端手机APP，随时了解设备运行状态和报警处理结论，支持移动端服务请求功能。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（十）异常设备快速定位，可快速在状态监视画面和机组状态细节之间进行切换，查看机组设备运行情况，定位机组故障的范围。</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（十一）根据岗位职责定制显示界面和使用功能，定制两种用户（点检、技术人员）应用在线监测系统的权限，提供简化的显示、趋势图、频谱图、历史记录等。</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（十二）远程技术支持：能够对异地在线监测系统实现远程跟踪、故障原因分析，提供可行性的技术支持，每月定期提供一份在线测振系统监测报告。</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（十三）应用软件预留后期扩展功能，并于计算机化维修管理系统、企业资源规划系统或其它信息管理系统进行无缝接合。</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四）具备频率分析功能，可分辨出具体的部件故障频率。在线数据视图会自动更新，显示最新的信息、测点状态和报警细节。事件日志功能会随着时间记录特定发生的事件，同时，实时视图会即时更新显示的数据。系统信息视图能够在不同视图（例如事件日志、在线数据视图、个别路径和工作区）中提供一站式导航。</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（十五）具备各种数据和曲线打印功能，可打印报表。主机系统有 USB 接口，以便于数据的拷贝；能做到数据离线保存，便于长期分析及判断工作点设备状态趋势。</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（十六）具备全面轴承的数据库（整体不低于2万个，软件内可查），提供轴承型号特征频率的轴承库(包含高线摩根进口轴承特征频率的轴承库），对于轴承库以外的轴承，提供特征频率计算工具。</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（十七）检修后设备状态评估功能：设备检修之后，通过实时在线监测系统可对现场或第三方协作单位的检修质量进行独立评估，确保设备检修质量可靠。</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（十八）系统需具备自检功能：支持电池电压趋势浏览，能对系统的网络通信状态、传感器状态及内部硬件信息进行检查，若自检存在异常，则给出提示信息。</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（十九）管理模块应该可以升级替换，硬件可扩容。权限可以随时调整，适应现在和将来发展的需要。3年内软件免费升级，如3 年内无升级，后期需免费提供1次且为最新版本。</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（二十）供应商具备远程诊断服务能力，同时供应商需具备诊断培训能力，并对我方诊断人员进行专业诊断培训。供应商免费提供1</w:t>
      </w:r>
      <w:r>
        <w:rPr>
          <w:rFonts w:ascii="仿宋" w:hAnsi="仿宋" w:eastAsia="仿宋" w:cs="宋体"/>
          <w:color w:val="000000" w:themeColor="text1"/>
          <w:sz w:val="32"/>
          <w:szCs w:val="32"/>
        </w:rPr>
        <w:t>8</w:t>
      </w:r>
      <w:r>
        <w:rPr>
          <w:rFonts w:hint="eastAsia" w:ascii="仿宋" w:hAnsi="仿宋" w:eastAsia="仿宋" w:cs="宋体"/>
          <w:color w:val="000000" w:themeColor="text1"/>
          <w:sz w:val="32"/>
          <w:szCs w:val="32"/>
        </w:rPr>
        <w:t>个月的全天候设备监测诊断服务，成立诊断微信群，诊断服务开始时间以与客户确认的《设备诊断服务通知书》为准，或提供第一份月度分析诊断报告之日起为起始时间。</w:t>
      </w:r>
      <w:r>
        <w:rPr>
          <w:rFonts w:ascii="仿宋" w:hAnsi="仿宋" w:eastAsia="仿宋" w:cs="宋体"/>
          <w:color w:val="000000" w:themeColor="text1"/>
          <w:sz w:val="32"/>
          <w:szCs w:val="32"/>
        </w:rPr>
        <w:t xml:space="preserve"> </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（二十一）供应商分别在钳工班、电工班配备一台专用于监测系统的台式电脑，另外配备一台笔记本电脑用于移动监测，且配备两套传感器线缆、采集站排查工具。</w:t>
      </w:r>
    </w:p>
    <w:p>
      <w:pPr>
        <w:pStyle w:val="3"/>
        <w:spacing w:line="360" w:lineRule="exact"/>
        <w:ind w:firstLine="199" w:firstLineChars="83"/>
        <w:rPr>
          <w:rFonts w:ascii="仿宋" w:hAnsi="仿宋" w:eastAsia="仿宋"/>
          <w:color w:val="000000" w:themeColor="text1"/>
          <w:sz w:val="24"/>
        </w:rPr>
      </w:pPr>
      <w:r>
        <w:rPr>
          <w:rFonts w:hint="eastAsia" w:ascii="仿宋" w:hAnsi="仿宋" w:eastAsia="仿宋"/>
          <w:color w:val="000000" w:themeColor="text1"/>
          <w:sz w:val="24"/>
        </w:rPr>
        <w:t xml:space="preserve"> </w:t>
      </w:r>
      <w:r>
        <w:rPr>
          <w:rFonts w:ascii="仿宋" w:hAnsi="仿宋" w:eastAsia="仿宋"/>
          <w:color w:val="000000" w:themeColor="text1"/>
          <w:sz w:val="24"/>
        </w:rPr>
        <w:t xml:space="preserve">   </w:t>
      </w:r>
      <w:r>
        <w:rPr>
          <w:rFonts w:hint="eastAsia" w:ascii="仿宋" w:hAnsi="仿宋" w:eastAsia="仿宋"/>
          <w:color w:val="000000" w:themeColor="text1"/>
          <w:sz w:val="24"/>
        </w:rPr>
        <w:t>验收情况表（甲方对以上功能验收）：</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序号</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功能概述</w:t>
            </w:r>
          </w:p>
        </w:tc>
        <w:tc>
          <w:tcPr>
            <w:tcW w:w="2131"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实际情况</w:t>
            </w:r>
          </w:p>
        </w:tc>
        <w:tc>
          <w:tcPr>
            <w:tcW w:w="2131"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验收结果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1</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如上所述</w:t>
            </w:r>
          </w:p>
        </w:tc>
        <w:tc>
          <w:tcPr>
            <w:tcW w:w="2131" w:type="dxa"/>
          </w:tcPr>
          <w:p>
            <w:pPr>
              <w:pStyle w:val="3"/>
              <w:spacing w:line="360" w:lineRule="exact"/>
              <w:ind w:firstLine="0" w:firstLineChars="0"/>
              <w:rPr>
                <w:rFonts w:ascii="仿宋" w:hAnsi="仿宋" w:eastAsia="仿宋"/>
                <w:color w:val="000000" w:themeColor="text1"/>
                <w:sz w:val="24"/>
              </w:rPr>
            </w:pPr>
          </w:p>
        </w:tc>
        <w:tc>
          <w:tcPr>
            <w:tcW w:w="2131"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合格/不合格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2</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如上所述</w:t>
            </w:r>
          </w:p>
        </w:tc>
        <w:tc>
          <w:tcPr>
            <w:tcW w:w="2131" w:type="dxa"/>
          </w:tcPr>
          <w:p>
            <w:pPr>
              <w:pStyle w:val="3"/>
              <w:spacing w:line="360" w:lineRule="exact"/>
              <w:ind w:firstLine="0" w:firstLineChars="0"/>
              <w:rPr>
                <w:rFonts w:ascii="仿宋" w:hAnsi="仿宋" w:eastAsia="仿宋"/>
                <w:color w:val="000000" w:themeColor="text1"/>
                <w:sz w:val="24"/>
              </w:rPr>
            </w:pPr>
          </w:p>
        </w:tc>
        <w:tc>
          <w:tcPr>
            <w:tcW w:w="2131" w:type="dxa"/>
          </w:tcPr>
          <w:p>
            <w:pPr>
              <w:pStyle w:val="3"/>
              <w:spacing w:line="360" w:lineRule="exact"/>
              <w:ind w:firstLine="0" w:firstLineChars="0"/>
              <w:rPr>
                <w:rFonts w:ascii="仿宋" w:hAnsi="仿宋" w:eastAsia="仿宋"/>
                <w:color w:val="000000" w:themeColor="text1"/>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3</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如上所述</w:t>
            </w:r>
          </w:p>
        </w:tc>
        <w:tc>
          <w:tcPr>
            <w:tcW w:w="2131" w:type="dxa"/>
          </w:tcPr>
          <w:p>
            <w:pPr>
              <w:pStyle w:val="3"/>
              <w:spacing w:line="360" w:lineRule="exact"/>
              <w:ind w:firstLine="0" w:firstLineChars="0"/>
              <w:rPr>
                <w:rFonts w:ascii="仿宋" w:hAnsi="仿宋" w:eastAsia="仿宋"/>
                <w:color w:val="000000" w:themeColor="text1"/>
                <w:sz w:val="24"/>
              </w:rPr>
            </w:pPr>
          </w:p>
        </w:tc>
        <w:tc>
          <w:tcPr>
            <w:tcW w:w="2131" w:type="dxa"/>
          </w:tcPr>
          <w:p>
            <w:pPr>
              <w:pStyle w:val="3"/>
              <w:spacing w:line="360" w:lineRule="exact"/>
              <w:ind w:firstLine="0" w:firstLineChars="0"/>
              <w:rPr>
                <w:rFonts w:ascii="仿宋" w:hAnsi="仿宋" w:eastAsia="仿宋"/>
                <w:color w:val="000000" w:themeColor="text1"/>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ascii="仿宋" w:hAnsi="仿宋" w:eastAsia="仿宋"/>
                <w:color w:val="000000" w:themeColor="text1"/>
                <w:sz w:val="24"/>
              </w:rPr>
              <w:t>…</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如上所述</w:t>
            </w:r>
          </w:p>
        </w:tc>
        <w:tc>
          <w:tcPr>
            <w:tcW w:w="2131" w:type="dxa"/>
          </w:tcPr>
          <w:p>
            <w:pPr>
              <w:pStyle w:val="3"/>
              <w:spacing w:line="360" w:lineRule="exact"/>
              <w:ind w:firstLine="0" w:firstLineChars="0"/>
              <w:rPr>
                <w:rFonts w:ascii="仿宋" w:hAnsi="仿宋" w:eastAsia="仿宋"/>
                <w:color w:val="000000" w:themeColor="text1"/>
                <w:sz w:val="24"/>
              </w:rPr>
            </w:pPr>
          </w:p>
        </w:tc>
        <w:tc>
          <w:tcPr>
            <w:tcW w:w="2131" w:type="dxa"/>
          </w:tcPr>
          <w:p>
            <w:pPr>
              <w:pStyle w:val="3"/>
              <w:spacing w:line="360" w:lineRule="exact"/>
              <w:ind w:firstLine="0" w:firstLineChars="0"/>
              <w:rPr>
                <w:rFonts w:ascii="仿宋" w:hAnsi="仿宋" w:eastAsia="仿宋"/>
                <w:color w:val="000000" w:themeColor="text1"/>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2</w:t>
            </w:r>
            <w:r>
              <w:rPr>
                <w:rFonts w:ascii="仿宋" w:hAnsi="仿宋" w:eastAsia="仿宋"/>
                <w:color w:val="000000" w:themeColor="text1"/>
                <w:sz w:val="24"/>
              </w:rPr>
              <w:t>7</w:t>
            </w:r>
          </w:p>
        </w:tc>
        <w:tc>
          <w:tcPr>
            <w:tcW w:w="2130" w:type="dxa"/>
          </w:tcPr>
          <w:p>
            <w:pPr>
              <w:pStyle w:val="3"/>
              <w:spacing w:line="360" w:lineRule="exact"/>
              <w:ind w:firstLine="0" w:firstLineChars="0"/>
              <w:rPr>
                <w:rFonts w:ascii="仿宋" w:hAnsi="仿宋" w:eastAsia="仿宋"/>
                <w:color w:val="000000" w:themeColor="text1"/>
                <w:sz w:val="24"/>
              </w:rPr>
            </w:pPr>
            <w:r>
              <w:rPr>
                <w:rFonts w:hint="eastAsia" w:ascii="仿宋" w:hAnsi="仿宋" w:eastAsia="仿宋"/>
                <w:color w:val="000000" w:themeColor="text1"/>
                <w:sz w:val="24"/>
              </w:rPr>
              <w:t>如上所述</w:t>
            </w:r>
          </w:p>
        </w:tc>
        <w:tc>
          <w:tcPr>
            <w:tcW w:w="2131" w:type="dxa"/>
          </w:tcPr>
          <w:p>
            <w:pPr>
              <w:pStyle w:val="3"/>
              <w:spacing w:line="360" w:lineRule="exact"/>
              <w:ind w:firstLine="0" w:firstLineChars="0"/>
              <w:rPr>
                <w:rFonts w:ascii="仿宋" w:hAnsi="仿宋" w:eastAsia="仿宋"/>
                <w:color w:val="000000" w:themeColor="text1"/>
                <w:sz w:val="24"/>
              </w:rPr>
            </w:pPr>
          </w:p>
        </w:tc>
        <w:tc>
          <w:tcPr>
            <w:tcW w:w="2131" w:type="dxa"/>
          </w:tcPr>
          <w:p>
            <w:pPr>
              <w:pStyle w:val="3"/>
              <w:spacing w:line="360" w:lineRule="exact"/>
              <w:ind w:firstLine="0" w:firstLineChars="0"/>
              <w:rPr>
                <w:rFonts w:ascii="仿宋" w:hAnsi="仿宋" w:eastAsia="仿宋"/>
                <w:color w:val="000000" w:themeColor="text1"/>
                <w:sz w:val="24"/>
              </w:rPr>
            </w:pPr>
          </w:p>
        </w:tc>
      </w:tr>
    </w:tbl>
    <w:p>
      <w:pPr>
        <w:rPr>
          <w:rFonts w:ascii="小标宋" w:hAnsi="仿宋" w:eastAsia="小标宋"/>
          <w:sz w:val="36"/>
          <w:szCs w:val="36"/>
        </w:rPr>
      </w:pPr>
    </w:p>
    <w:p>
      <w:pPr>
        <w:rPr>
          <w:rFonts w:ascii="小标宋" w:hAnsi="仿宋" w:eastAsia="小标宋"/>
          <w:sz w:val="36"/>
          <w:szCs w:val="36"/>
        </w:rPr>
      </w:pPr>
      <w:r>
        <w:rPr>
          <w:rFonts w:hint="eastAsia" w:ascii="小标宋" w:hAnsi="仿宋" w:eastAsia="小标宋"/>
          <w:sz w:val="36"/>
          <w:szCs w:val="36"/>
        </w:rPr>
        <w:t xml:space="preserve">                    </w:t>
      </w:r>
    </w:p>
    <w:p>
      <w:pPr>
        <w:rPr>
          <w:rFonts w:ascii="小标宋" w:hAnsi="仿宋" w:eastAsia="小标宋"/>
          <w:sz w:val="36"/>
          <w:szCs w:val="36"/>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zQ4ZWFiZmQ4NTRhOWRkZTk3YTMwMjlmMmZhYmUifQ=="/>
  </w:docVars>
  <w:rsids>
    <w:rsidRoot w:val="00695CEE"/>
    <w:rsid w:val="000056CD"/>
    <w:rsid w:val="00005B63"/>
    <w:rsid w:val="00014F6E"/>
    <w:rsid w:val="00032AC7"/>
    <w:rsid w:val="0007064D"/>
    <w:rsid w:val="00074920"/>
    <w:rsid w:val="000807E0"/>
    <w:rsid w:val="00080D25"/>
    <w:rsid w:val="000816FA"/>
    <w:rsid w:val="00084A1B"/>
    <w:rsid w:val="000A3232"/>
    <w:rsid w:val="000B6FEA"/>
    <w:rsid w:val="000B79CC"/>
    <w:rsid w:val="000C24AB"/>
    <w:rsid w:val="000C3A98"/>
    <w:rsid w:val="000D458C"/>
    <w:rsid w:val="000D741C"/>
    <w:rsid w:val="001008DB"/>
    <w:rsid w:val="00105039"/>
    <w:rsid w:val="00115360"/>
    <w:rsid w:val="00127A61"/>
    <w:rsid w:val="00140157"/>
    <w:rsid w:val="00155F40"/>
    <w:rsid w:val="001938A4"/>
    <w:rsid w:val="001C1172"/>
    <w:rsid w:val="001C17E3"/>
    <w:rsid w:val="001C18E7"/>
    <w:rsid w:val="001E67F1"/>
    <w:rsid w:val="00231D13"/>
    <w:rsid w:val="0025227B"/>
    <w:rsid w:val="002525C6"/>
    <w:rsid w:val="0027446D"/>
    <w:rsid w:val="00282534"/>
    <w:rsid w:val="002836A4"/>
    <w:rsid w:val="00283C3A"/>
    <w:rsid w:val="002C1A2A"/>
    <w:rsid w:val="002C333F"/>
    <w:rsid w:val="002F56B4"/>
    <w:rsid w:val="00304223"/>
    <w:rsid w:val="00310BFB"/>
    <w:rsid w:val="00320F9C"/>
    <w:rsid w:val="003212C1"/>
    <w:rsid w:val="00324861"/>
    <w:rsid w:val="00334989"/>
    <w:rsid w:val="00343E03"/>
    <w:rsid w:val="0034501B"/>
    <w:rsid w:val="00360B15"/>
    <w:rsid w:val="0037618D"/>
    <w:rsid w:val="0038357B"/>
    <w:rsid w:val="003920F3"/>
    <w:rsid w:val="0039266F"/>
    <w:rsid w:val="003960B0"/>
    <w:rsid w:val="003C3E45"/>
    <w:rsid w:val="003D07AB"/>
    <w:rsid w:val="003D1667"/>
    <w:rsid w:val="004128A2"/>
    <w:rsid w:val="00425FE2"/>
    <w:rsid w:val="0043004B"/>
    <w:rsid w:val="00430BA2"/>
    <w:rsid w:val="004336D9"/>
    <w:rsid w:val="00453902"/>
    <w:rsid w:val="00455149"/>
    <w:rsid w:val="00486BAC"/>
    <w:rsid w:val="004A6342"/>
    <w:rsid w:val="004A6E02"/>
    <w:rsid w:val="004C7183"/>
    <w:rsid w:val="004D4671"/>
    <w:rsid w:val="00573673"/>
    <w:rsid w:val="005762E4"/>
    <w:rsid w:val="005909AC"/>
    <w:rsid w:val="00596717"/>
    <w:rsid w:val="005B6158"/>
    <w:rsid w:val="005B7836"/>
    <w:rsid w:val="005C0F61"/>
    <w:rsid w:val="005C224D"/>
    <w:rsid w:val="005C3CB2"/>
    <w:rsid w:val="005E1FEE"/>
    <w:rsid w:val="005F432F"/>
    <w:rsid w:val="00611626"/>
    <w:rsid w:val="006149D3"/>
    <w:rsid w:val="00622909"/>
    <w:rsid w:val="00633D77"/>
    <w:rsid w:val="0064243B"/>
    <w:rsid w:val="0067638E"/>
    <w:rsid w:val="006916B4"/>
    <w:rsid w:val="00692FD6"/>
    <w:rsid w:val="00693622"/>
    <w:rsid w:val="00695CEE"/>
    <w:rsid w:val="006A553A"/>
    <w:rsid w:val="006C5B48"/>
    <w:rsid w:val="006D4133"/>
    <w:rsid w:val="006E41F7"/>
    <w:rsid w:val="006F3B16"/>
    <w:rsid w:val="00700503"/>
    <w:rsid w:val="00705730"/>
    <w:rsid w:val="00715203"/>
    <w:rsid w:val="0073303A"/>
    <w:rsid w:val="007457ED"/>
    <w:rsid w:val="00763602"/>
    <w:rsid w:val="007668B0"/>
    <w:rsid w:val="00766F63"/>
    <w:rsid w:val="00794D1D"/>
    <w:rsid w:val="0079783D"/>
    <w:rsid w:val="007B2330"/>
    <w:rsid w:val="007C12E1"/>
    <w:rsid w:val="0081238D"/>
    <w:rsid w:val="0081666F"/>
    <w:rsid w:val="00821E09"/>
    <w:rsid w:val="008363A0"/>
    <w:rsid w:val="008548F2"/>
    <w:rsid w:val="00873067"/>
    <w:rsid w:val="00875F20"/>
    <w:rsid w:val="008943AA"/>
    <w:rsid w:val="008A5909"/>
    <w:rsid w:val="008C6770"/>
    <w:rsid w:val="008D05B4"/>
    <w:rsid w:val="008D630E"/>
    <w:rsid w:val="008E0466"/>
    <w:rsid w:val="008F40F7"/>
    <w:rsid w:val="009041F1"/>
    <w:rsid w:val="00921735"/>
    <w:rsid w:val="00940806"/>
    <w:rsid w:val="009509E5"/>
    <w:rsid w:val="00964A35"/>
    <w:rsid w:val="009747C4"/>
    <w:rsid w:val="009A4E62"/>
    <w:rsid w:val="009B2FDE"/>
    <w:rsid w:val="009B6E8B"/>
    <w:rsid w:val="009D0BA6"/>
    <w:rsid w:val="009D264C"/>
    <w:rsid w:val="009E10B7"/>
    <w:rsid w:val="009F32C1"/>
    <w:rsid w:val="009F506F"/>
    <w:rsid w:val="00A07AF1"/>
    <w:rsid w:val="00A15640"/>
    <w:rsid w:val="00A30325"/>
    <w:rsid w:val="00A3297B"/>
    <w:rsid w:val="00A32C3E"/>
    <w:rsid w:val="00A35D4F"/>
    <w:rsid w:val="00A560AD"/>
    <w:rsid w:val="00A6063A"/>
    <w:rsid w:val="00A615C7"/>
    <w:rsid w:val="00A62370"/>
    <w:rsid w:val="00A72EB6"/>
    <w:rsid w:val="00A75B89"/>
    <w:rsid w:val="00A75DD6"/>
    <w:rsid w:val="00A8280F"/>
    <w:rsid w:val="00A8470D"/>
    <w:rsid w:val="00A902E6"/>
    <w:rsid w:val="00A93B5F"/>
    <w:rsid w:val="00AA0A8C"/>
    <w:rsid w:val="00AA3EF5"/>
    <w:rsid w:val="00AA7549"/>
    <w:rsid w:val="00AB4FA6"/>
    <w:rsid w:val="00AB50DA"/>
    <w:rsid w:val="00AB72E9"/>
    <w:rsid w:val="00AC05F8"/>
    <w:rsid w:val="00AC5505"/>
    <w:rsid w:val="00AC6D3C"/>
    <w:rsid w:val="00AD25E0"/>
    <w:rsid w:val="00AF39E5"/>
    <w:rsid w:val="00B03E4B"/>
    <w:rsid w:val="00B06B67"/>
    <w:rsid w:val="00B12C27"/>
    <w:rsid w:val="00B17A5B"/>
    <w:rsid w:val="00B22BCF"/>
    <w:rsid w:val="00B27777"/>
    <w:rsid w:val="00B31ADA"/>
    <w:rsid w:val="00B41DDE"/>
    <w:rsid w:val="00B633AE"/>
    <w:rsid w:val="00B634E8"/>
    <w:rsid w:val="00B757B2"/>
    <w:rsid w:val="00B773AA"/>
    <w:rsid w:val="00B81503"/>
    <w:rsid w:val="00BB6028"/>
    <w:rsid w:val="00BC72F0"/>
    <w:rsid w:val="00BD37C5"/>
    <w:rsid w:val="00BE0341"/>
    <w:rsid w:val="00BE5011"/>
    <w:rsid w:val="00BF7395"/>
    <w:rsid w:val="00C01E4B"/>
    <w:rsid w:val="00C2062E"/>
    <w:rsid w:val="00C30AA2"/>
    <w:rsid w:val="00C4001B"/>
    <w:rsid w:val="00C45202"/>
    <w:rsid w:val="00C50626"/>
    <w:rsid w:val="00C50698"/>
    <w:rsid w:val="00C659EF"/>
    <w:rsid w:val="00C7195E"/>
    <w:rsid w:val="00C74E5B"/>
    <w:rsid w:val="00C83857"/>
    <w:rsid w:val="00C940F7"/>
    <w:rsid w:val="00CB7D2B"/>
    <w:rsid w:val="00CC0D77"/>
    <w:rsid w:val="00CC686A"/>
    <w:rsid w:val="00CD0741"/>
    <w:rsid w:val="00CF697A"/>
    <w:rsid w:val="00D2292A"/>
    <w:rsid w:val="00D312BB"/>
    <w:rsid w:val="00D335EA"/>
    <w:rsid w:val="00D80A5E"/>
    <w:rsid w:val="00D84662"/>
    <w:rsid w:val="00D94743"/>
    <w:rsid w:val="00D979B9"/>
    <w:rsid w:val="00DD070C"/>
    <w:rsid w:val="00DD496F"/>
    <w:rsid w:val="00DE4510"/>
    <w:rsid w:val="00DE6D47"/>
    <w:rsid w:val="00DF0EB8"/>
    <w:rsid w:val="00DF46DC"/>
    <w:rsid w:val="00E02EEB"/>
    <w:rsid w:val="00E0746D"/>
    <w:rsid w:val="00E16AE3"/>
    <w:rsid w:val="00E26351"/>
    <w:rsid w:val="00E31319"/>
    <w:rsid w:val="00E344AB"/>
    <w:rsid w:val="00E54F8F"/>
    <w:rsid w:val="00E6403E"/>
    <w:rsid w:val="00E7046B"/>
    <w:rsid w:val="00E7227D"/>
    <w:rsid w:val="00E83A88"/>
    <w:rsid w:val="00E91490"/>
    <w:rsid w:val="00EB2664"/>
    <w:rsid w:val="00EB6AB8"/>
    <w:rsid w:val="00EC12BF"/>
    <w:rsid w:val="00EC2B83"/>
    <w:rsid w:val="00EC47E3"/>
    <w:rsid w:val="00ED1589"/>
    <w:rsid w:val="00ED42EC"/>
    <w:rsid w:val="00ED595F"/>
    <w:rsid w:val="00ED7764"/>
    <w:rsid w:val="00EE0C24"/>
    <w:rsid w:val="00EF3BAA"/>
    <w:rsid w:val="00F119A3"/>
    <w:rsid w:val="00F13F02"/>
    <w:rsid w:val="00F15430"/>
    <w:rsid w:val="00F54D00"/>
    <w:rsid w:val="00F614A4"/>
    <w:rsid w:val="00F62036"/>
    <w:rsid w:val="00F62C8A"/>
    <w:rsid w:val="00F70F02"/>
    <w:rsid w:val="00F851DC"/>
    <w:rsid w:val="00FA24FA"/>
    <w:rsid w:val="00FA32A6"/>
    <w:rsid w:val="00FD244C"/>
    <w:rsid w:val="00FD2A96"/>
    <w:rsid w:val="00FF04A9"/>
    <w:rsid w:val="00FF6272"/>
    <w:rsid w:val="00FF7BA5"/>
    <w:rsid w:val="2C654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3"/>
    <w:link w:val="52"/>
    <w:qFormat/>
    <w:uiPriority w:val="99"/>
    <w:pPr>
      <w:keepNext/>
      <w:keepLines/>
      <w:spacing w:line="360" w:lineRule="auto"/>
      <w:outlineLvl w:val="1"/>
    </w:pPr>
    <w:rPr>
      <w:rFonts w:ascii="Times New Roman" w:hAnsi="Times New Roman" w:eastAsia="黑体" w:cs="Times New Roman"/>
      <w:b/>
      <w:bCs/>
      <w:kern w:val="0"/>
      <w:sz w:val="30"/>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qFormat/>
    <w:uiPriority w:val="99"/>
    <w:pPr>
      <w:ind w:firstLine="200" w:firstLineChars="200"/>
    </w:pPr>
    <w:rPr>
      <w:rFonts w:ascii="Times New Roman" w:hAnsi="Times New Roman" w:eastAsia="宋体" w:cs="Times New Roman"/>
      <w:kern w:val="0"/>
      <w:sz w:val="20"/>
      <w:szCs w:val="24"/>
      <w:lang w:val="en-US" w:eastAsia="zh-CN" w:bidi="ar-SA"/>
    </w:rPr>
  </w:style>
  <w:style w:type="paragraph" w:styleId="4">
    <w:name w:val="Balloon Text"/>
    <w:basedOn w:val="1"/>
    <w:link w:val="15"/>
    <w:semiHidden/>
    <w:unhideWhenUsed/>
    <w:uiPriority w:val="99"/>
    <w:rPr>
      <w:sz w:val="18"/>
      <w:szCs w:val="18"/>
    </w:rPr>
  </w:style>
  <w:style w:type="paragraph" w:styleId="5">
    <w:name w:val="footer"/>
    <w:basedOn w:val="1"/>
    <w:link w:val="13"/>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llowedHyperlink"/>
    <w:basedOn w:val="9"/>
    <w:semiHidden/>
    <w:unhideWhenUsed/>
    <w:uiPriority w:val="99"/>
    <w:rPr>
      <w:color w:val="800080"/>
      <w:u w:val="single"/>
    </w:rPr>
  </w:style>
  <w:style w:type="character" w:styleId="11">
    <w:name w:val="Hyperlink"/>
    <w:basedOn w:val="9"/>
    <w:uiPriority w:val="99"/>
    <w:rPr>
      <w:color w:val="0000FF"/>
      <w:u w:val="single"/>
    </w:rPr>
  </w:style>
  <w:style w:type="character" w:customStyle="1" w:styleId="12">
    <w:name w:val="页眉 Char"/>
    <w:basedOn w:val="9"/>
    <w:link w:val="6"/>
    <w:semiHidden/>
    <w:uiPriority w:val="99"/>
    <w:rPr>
      <w:rFonts w:ascii="Times New Roman" w:hAnsi="Times New Roman" w:eastAsia="宋体" w:cs="Times New Roman"/>
      <w:sz w:val="18"/>
      <w:szCs w:val="18"/>
    </w:rPr>
  </w:style>
  <w:style w:type="character" w:customStyle="1" w:styleId="13">
    <w:name w:val="页脚 Char"/>
    <w:basedOn w:val="9"/>
    <w:link w:val="5"/>
    <w:semiHidden/>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uiPriority w:val="99"/>
    <w:rPr>
      <w:rFonts w:ascii="Times New Roman" w:hAnsi="Times New Roman" w:eastAsia="宋体" w:cs="Times New Roman"/>
      <w:sz w:val="18"/>
      <w:szCs w:val="18"/>
    </w:rPr>
  </w:style>
  <w:style w:type="paragraph" w:customStyle="1" w:styleId="1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6"/>
    <w:basedOn w:val="1"/>
    <w:uiPriority w:val="0"/>
    <w:pPr>
      <w:widowControl/>
      <w:spacing w:before="100" w:beforeAutospacing="1" w:after="100" w:afterAutospacing="1"/>
      <w:jc w:val="left"/>
    </w:pPr>
    <w:rPr>
      <w:rFonts w:ascii="Arial" w:hAnsi="Arial" w:cs="Arial"/>
      <w:kern w:val="0"/>
      <w:sz w:val="18"/>
      <w:szCs w:val="18"/>
    </w:rPr>
  </w:style>
  <w:style w:type="paragraph" w:customStyle="1" w:styleId="18">
    <w:name w:val="xl66"/>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9">
    <w:name w:val="xl68"/>
    <w:basedOn w:val="1"/>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20">
    <w:name w:val="xl69"/>
    <w:basedOn w:val="1"/>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2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7">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8">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39">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0">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333333"/>
      <w:kern w:val="0"/>
      <w:sz w:val="18"/>
      <w:szCs w:val="18"/>
    </w:rPr>
  </w:style>
  <w:style w:type="paragraph" w:customStyle="1" w:styleId="41">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42">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333333"/>
      <w:kern w:val="0"/>
      <w:sz w:val="18"/>
      <w:szCs w:val="18"/>
    </w:rPr>
  </w:style>
  <w:style w:type="paragraph" w:customStyle="1" w:styleId="4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4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8"/>
      <w:szCs w:val="18"/>
    </w:rPr>
  </w:style>
  <w:style w:type="paragraph" w:customStyle="1" w:styleId="45">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8"/>
      <w:szCs w:val="18"/>
    </w:rPr>
  </w:style>
  <w:style w:type="paragraph" w:customStyle="1" w:styleId="4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47">
    <w:name w:val="xl96"/>
    <w:basedOn w:val="1"/>
    <w:uiPriority w:val="0"/>
    <w:pPr>
      <w:widowControl/>
      <w:spacing w:before="100" w:beforeAutospacing="1" w:after="100" w:afterAutospacing="1"/>
      <w:jc w:val="center"/>
    </w:pPr>
    <w:rPr>
      <w:rFonts w:ascii="宋体" w:hAnsi="宋体" w:cs="宋体"/>
      <w:b/>
      <w:bCs/>
      <w:kern w:val="0"/>
      <w:sz w:val="24"/>
    </w:rPr>
  </w:style>
  <w:style w:type="paragraph" w:customStyle="1" w:styleId="48">
    <w:name w:val="xl97"/>
    <w:basedOn w:val="1"/>
    <w:uiPriority w:val="0"/>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98"/>
    <w:basedOn w:val="1"/>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50">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character" w:customStyle="1" w:styleId="52">
    <w:name w:val="标题 2 Char"/>
    <w:basedOn w:val="9"/>
    <w:link w:val="2"/>
    <w:qFormat/>
    <w:uiPriority w:val="99"/>
    <w:rPr>
      <w:rFonts w:ascii="Times New Roman" w:hAnsi="Times New Roman" w:eastAsia="黑体" w:cs="Times New Roman"/>
      <w:b/>
      <w:bCs/>
      <w:kern w:val="0"/>
      <w:sz w:val="30"/>
      <w:szCs w:val="32"/>
    </w:rPr>
  </w:style>
  <w:style w:type="paragraph" w:customStyle="1" w:styleId="53">
    <w:name w:val="表格内容"/>
    <w:qFormat/>
    <w:uiPriority w:val="0"/>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630</Words>
  <Characters>3595</Characters>
  <Lines>29</Lines>
  <Paragraphs>8</Paragraphs>
  <TotalTime>1159</TotalTime>
  <ScaleCrop>false</ScaleCrop>
  <LinksUpToDate>false</LinksUpToDate>
  <CharactersWithSpaces>4217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2019-03-19T07:35:00Z</dcterms:created>
  <dc:creator>未定义</dc:creator>
  <cp:lastModifiedBy>Mr.Bright.Future</cp:lastModifiedBy>
  <cp:lastPrinted>2022-08-29T10:18:00Z</cp:lastPrinted>
  <dcterms:modified xsi:type="dcterms:W3CDTF">2022-08-30T05:55:02Z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BF128986F7834E848446CEC4E0395FBC</vt:lpwstr>
  </property>
</Properties>
</file>