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小标宋" w:hAnsi="宋体" w:eastAsia="小标宋"/>
          <w:b/>
          <w:sz w:val="44"/>
          <w:szCs w:val="44"/>
        </w:rPr>
      </w:pPr>
      <w:r>
        <w:rPr>
          <w:rFonts w:hint="eastAsia" w:ascii="小标宋" w:hAnsi="宋体" w:eastAsia="小标宋"/>
          <w:b/>
          <w:sz w:val="44"/>
          <w:szCs w:val="44"/>
        </w:rPr>
        <w:t>招标公告</w:t>
      </w:r>
    </w:p>
    <w:p>
      <w:pPr>
        <w:spacing w:line="440" w:lineRule="exact"/>
        <w:jc w:val="center"/>
        <w:rPr>
          <w:rFonts w:ascii="仿宋" w:hAnsi="仿宋" w:eastAsia="仿宋"/>
          <w:b/>
          <w:sz w:val="28"/>
          <w:szCs w:val="44"/>
        </w:rPr>
      </w:pPr>
    </w:p>
    <w:p>
      <w:pPr>
        <w:spacing w:line="440" w:lineRule="exact"/>
        <w:jc w:val="center"/>
        <w:rPr>
          <w:rFonts w:ascii="仿宋" w:hAnsi="仿宋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szCs w:val="21"/>
        </w:rPr>
        <w:t xml:space="preserve">                                       </w:t>
      </w:r>
      <w:r>
        <w:rPr>
          <w:rFonts w:hint="eastAsia" w:ascii="仿宋" w:hAnsi="仿宋" w:eastAsia="仿宋"/>
          <w:b w:val="0"/>
          <w:bCs w:val="0"/>
          <w:color w:val="auto"/>
          <w:szCs w:val="21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业务编号：ZB/SC202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-R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G220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 xml:space="preserve">      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一、招标项目内容、技术要求、计划招标时间等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（一）招标项目名称：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eastAsia="zh-CN"/>
        </w:rPr>
        <w:t>超低排放环保平台服务器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采购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（二）招标采购数量：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1套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（三）技术要求：符合国家、行业最新标准规范，满足需方现场要求。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（四）计划招标时间：202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旬（具体以招标说明书为准）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（五）报名截止时间：202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日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（六）其他：无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二、对投标单位的资质要求：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（一）具有独立法人资格或其他组织的中间商（成立一年以上）。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（二）具有独立法人资格或其他组织的生产厂家。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eastAsia="zh-CN"/>
        </w:rPr>
        <w:t>需提供原厂项目授权书及售后服务承诺函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/>
        </w:rPr>
        <w:t>。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三、拟签订合同主要条款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一）交货结算方式：货到招标单位指定地点，初步验收合格入库，投标单位按招标价格开具13%增值税专用发票，发票挂账60天后招标单位以银行承兑汇票滚动支付货款。支付低于六个月承兑或银行转账时按需方财务规定收取资金占用费，需方开具6%增值税发票。产品价款的10%作为质保金，质保金在供方如约履行完毕“供方对质量负责的条件和期限”约定义务的情况下，于质保期满双方无异议后返还供方，质保金不计息。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（二）交货必须附产品合格证，持入库凭证到萍乡萍钢安源钢铁有限公司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eastAsia="zh-CN"/>
        </w:rPr>
        <w:t>安源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片物资仓库验收。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四、意向投标人提交的资格证明文件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（一）资质材料：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1.营业执照副本复印件、开户许可证复印件，如有生产许可证、体系认证证书、特种设备制造许可证等一并附上。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2.法定代表人和代理人身份证复印件及法定代表人授权委托书（授权书必须有法人章或签字及加盖公章）、承诺书。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.投标单位开票信息。</w:t>
      </w:r>
    </w:p>
    <w:p>
      <w:pPr>
        <w:spacing w:line="440" w:lineRule="exact"/>
        <w:ind w:firstLine="640" w:firstLineChars="200"/>
        <w:rPr>
          <w:rFonts w:hint="default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eastAsia="zh-CN"/>
        </w:rPr>
        <w:t>原厂项目授权书及售后服务承诺函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/>
        </w:rPr>
        <w:t>。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 xml:space="preserve">上述资料需加盖报名单位公章。 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提交方式：发送邮件至agqhb@pxsteel.com，发邮件时请注明邮件主题名称：XXXX公司报名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eastAsia="zh-CN"/>
        </w:rPr>
        <w:t>超低排放环保平台服务器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项目招标资质文件。网上报名如不按此要求发送邮件，招标方对邮件遗失所造成的后果不负任何责任。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五、投标方式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招标单位对意向投标单位提交的资质材料进行审查，向审查合格单位发出招标说明书，请接到</w:t>
      </w:r>
      <w:bookmarkStart w:id="0" w:name="_GoBack"/>
      <w:bookmarkEnd w:id="0"/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招标说明书的单位按要求时间交纳相应投标保证金（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0000元）、投标报名费（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00元）等。中标单位的投标保证金自动转为履约保证金，履约保证金按标的金额的5%收取，多退少补。未中标单位的投标保证金在宣标后十五个工作日内一次性返还（无息）。开票信息如下：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账户名称：萍乡萍钢安源钢铁有限公司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开户行：中国建设银行股份有限公司萍乡湘东支行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账号：36001752010052504776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 xml:space="preserve">六、招标方信息 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（一）招标单位名称：萍安钢铁设备材料公司</w:t>
      </w:r>
    </w:p>
    <w:p>
      <w:pPr>
        <w:spacing w:line="440" w:lineRule="exact"/>
        <w:ind w:firstLine="640" w:firstLineChars="200"/>
        <w:jc w:val="left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（二）招标项目业务负责人及联系方式：彭海春18870993466</w:t>
      </w:r>
    </w:p>
    <w:p>
      <w:pPr>
        <w:spacing w:line="440" w:lineRule="exact"/>
        <w:ind w:firstLine="640" w:firstLineChars="200"/>
        <w:jc w:val="left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（三）设备材料公司监督电话：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李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先生 0799-6356077</w:t>
      </w:r>
    </w:p>
    <w:p>
      <w:pPr>
        <w:spacing w:line="440" w:lineRule="exact"/>
        <w:ind w:firstLine="640" w:firstLineChars="200"/>
        <w:jc w:val="left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（四）审监法务部监督电话：王先生  0799-6356116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 xml:space="preserve">                  萍乡萍钢安源钢铁有限公司</w:t>
      </w:r>
    </w:p>
    <w:p>
      <w:pPr>
        <w:snapToGrid w:val="0"/>
        <w:spacing w:line="440" w:lineRule="exact"/>
        <w:rPr>
          <w:rFonts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 xml:space="preserve">                 公告时间：202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日</w:t>
      </w:r>
    </w:p>
    <w:p>
      <w:pPr>
        <w:snapToGrid w:val="0"/>
        <w:spacing w:line="500" w:lineRule="exact"/>
        <w:jc w:val="center"/>
        <w:rPr>
          <w:b w:val="0"/>
          <w:bCs w:val="0"/>
          <w:color w:val="auto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eastAsia="zh-CN"/>
        </w:rPr>
        <w:t>超低排放环保平台服务器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采购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招标活动（业务编号：ZB/SC202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-R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G220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我公司对被授权人的签名负全部责任，本授权书有效期：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签章或签字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</w:p>
    <w:p>
      <w:pPr>
        <w:snapToGrid w:val="0"/>
        <w:spacing w:line="520" w:lineRule="exact"/>
        <w:ind w:left="420" w:hanging="420" w:hangingChars="200"/>
        <w:rPr>
          <w:rFonts w:hint="default" w:ascii="仿宋" w:hAnsi="仿宋" w:eastAsia="仿宋" w:cs="微软雅黑"/>
          <w:sz w:val="32"/>
          <w:szCs w:val="32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业务经理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总经理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hint="default" w:ascii="仿宋" w:hAnsi="仿宋" w:eastAsia="仿宋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22</w:t>
      </w:r>
    </w:p>
    <w:p>
      <w:pPr>
        <w:snapToGrid w:val="0"/>
        <w:spacing w:line="240" w:lineRule="exact"/>
        <w:ind w:firstLine="5120" w:firstLineChars="16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ascii="仿宋" w:hAnsi="仿宋" w:eastAsia="仿宋" w:cs="微软雅黑"/>
          <w:sz w:val="28"/>
          <w:szCs w:val="28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t>承诺书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萍乡萍钢安源钢铁有限公司：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我司自愿参与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  <w:lang w:eastAsia="zh-CN"/>
        </w:rPr>
        <w:t>超低排放环保平台服务器</w:t>
      </w:r>
      <w:r>
        <w:rPr>
          <w:rFonts w:hint="eastAsia" w:ascii="仿宋" w:hAnsi="仿宋" w:eastAsia="仿宋" w:cs="仿宋_GB2312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-R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G220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的投（议）标，现承诺如下：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投标或履约保证金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），并承担由此造成贵司的经济损失赔偿及法律责任。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承诺单位（公章）：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法定代表人或委托代理人（签名）：</w:t>
      </w:r>
    </w:p>
    <w:p>
      <w:pPr>
        <w:snapToGrid w:val="0"/>
        <w:spacing w:line="300" w:lineRule="exact"/>
        <w:ind w:firstLine="2720" w:firstLineChars="8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日期： 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</w:p>
    <w:tbl>
      <w:tblPr>
        <w:tblStyle w:val="4"/>
        <w:tblW w:w="84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721"/>
        <w:gridCol w:w="1091"/>
        <w:gridCol w:w="2903"/>
        <w:gridCol w:w="791"/>
        <w:gridCol w:w="586"/>
        <w:gridCol w:w="1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超低排放环保平台服务器清单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2288HV5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PowerEdge R740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、规格：标准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2U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机架式；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、处理器：配置≥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颗英特尔至强金牌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5218(2.3GHz/16-Core/22MB/125W)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处理器；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、内存：配置≥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16*32GB ECC DDR4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，最大支持≥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24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根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DDR4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内存；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、硬盘：配置≥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块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480GB SSD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硬盘，支持热插拔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M.2 SATA SSD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RAID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卡：配置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块独立的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2G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缓存的硬件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raid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卡，支持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raid0/1/5/6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等，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、网卡：配置≥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4*GE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电口，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2*10GE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（光口，满配光模块）；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配置≥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块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16G FC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双通道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HBA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卡（含多模光模块）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、电源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&amp;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散热：满配冗余热插拔电源，满配冗余风扇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,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支持单风扇失效；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8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、服务：原厂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年质保服务；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华为（超聚变），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DELL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不低于参数配置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高性能视频、数据接收转发服务器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2288HV5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PowerEdge R740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颗英特尔至强银牌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4208(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主频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2.1GHz/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核心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8-Core/11MB/85W)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处理器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根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16GB RDIMM DDR4  2933MHz/3200MHz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12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块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8T-SATS 6Gb/s-7.2K rpm-64MB 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配置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块独立的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2G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缓存的硬件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raid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卡，支持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raid0/1/5/6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等，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配置≥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4*GE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电口，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2*10GE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（光口，满配光模块）；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华为（超聚变），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DELL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不低于参数配置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大屏显示服务器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2288HV5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T7920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颗英特尔至强银牌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4210R(2.4GHz/10-Core/13.75MB/100W)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处理器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根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32GB RDIMM DDR4  2933MHz/3200MHz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256GB SSD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固态硬盘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2TB 7200rpm SATA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硬盘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显卡：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NVIDIA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英伟达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3090 24G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显存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华为（超聚变），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DELL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不低于参数配置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4K分布式输入节点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EST401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、采用国产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DSP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纯嵌入式硬件架构，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Linux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操作系统能够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7×24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小时工作；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、支持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1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路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HDMI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输入，最高支持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3840×2160@30Hz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、支持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路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HDMI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输入环出；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、支持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路立体声音频输入，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路立体声音频输出，支持语音对讲功能；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、支持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路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RS485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路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RS232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路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IR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发射，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路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IO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输入，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路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IO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输出，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路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12V/0.5A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继电器控制信号；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、支持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路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USB2.0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路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USB3.0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，可接信号源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USB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接口或键盘，鼠标等；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7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、双电源备份，支持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DC12V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供电，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POE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供电；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8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、支持音频、视频、控制信号、安防监控信号云等接入分布式系统平台；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9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、动态超高分点对点采集，视频多码流并发；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、支持鼠标跨屏操控；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OSD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快速切换操控；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、支持接管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推送功能，可进行信号拼接并将信号源窗口推送上大屏幕；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12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、采用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Web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端控制，操作实时响应，采用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1000M/100M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自适应网络接口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13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、支持多用户同时访问；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14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、支持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Web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控制界面可实现输入源预监和输出回显；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、解码格式：视频格式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H.264HP/MP/BP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H.265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可选；音频格式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AAC/G.711/G.722.2/opus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16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、媒体录制文件格式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MP4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，视频编码码流：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32Kbps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～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16Mbps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可调，音频采样率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8-48KHz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可调，音频编码码率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48-320Kbps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可调；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17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、流媒体协议：支持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TCP/UDP/RTSP/RTP/RTMP/ONVIF/H.323/SIP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协议；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18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、嵌入式管理软件须安装于主机内，须基于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B/S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及本机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HDMI/VGA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视频输出管理操作界面架构，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B/S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兼容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IE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等浏览器；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19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、系统集拼接墙、预览组、模式保存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调用、布局、音频调整等控制，字幕、标题、系统设置等功能；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、实现单解码盒最高可同时解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16 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路信号源；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21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、支持多种拼接墙布局，可根据需求自定义，支持画中画，画外画多种组合；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嗨动科技，与现有大屏分布式系一致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灵越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14Plus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Y7000P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14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英寸轻薄本高性能创作本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(12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代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i7-12700H 16G 512G 2.2K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屏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 RTX3050Ti)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DELL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联想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存储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5110FV5增强版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unity 380f 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1、全闪存架构，仅支持SSD盘，系统中HDD，配置控制器处理器总物理核心数≥32核；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2、实配2个控制器；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3、系统内总一级缓存容量配置≥128GB；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4、配置8*1Gbps Ethernet ＋ 4*10Gbps Ethernet，支持扩展8/16/32Gbps FC、1/10/25Gbps Ethernet接口卡，本次配置4个16Gbps FC接口；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6、本次双控配置≥4*4*12Gbps SAS3.0磁盘通道；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7、做完Raid以后物理容量大于36.84T，交付时现场验证，若不足需补盘，企业级SAS SSD；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8、三年原厂整机质保，7*24小时服务，原厂工程师安装部署调试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华为（超聚变），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DELL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不低于参数配置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汇聚交换机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S6720S-26Q-EI-24S-AC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S6520X-30QC-EI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1、交换容量≥23.04Tbps；包转发率≥480Mpps；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2、设备为1U盒式设备，配置双电源；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3、配置24×10GE SFP+端口含6个多模光模块和6个单模光模块， 2×40GE QSFP+端口含堆叠线缆；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4、支持静态路由、RIP V1/2、ECMP、支持URPF、OSPF、IS-IS、BGP、支持VRRP、支持策略路由、支持路由策略；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华为，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H3C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不低于参数配置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光交机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BR-6610B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1、24端口光纤交换机；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2、1U高度；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3、本次激活24端口并配置24个16Gb/s短波SFP光模块；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4、配置Web tools、Zoning、EGM软件授权；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5、配置双电源，提供3年保修。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显示器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XG49VQ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U4919DW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49</w:t>
            </w:r>
            <w:r>
              <w:rPr>
                <w:rStyle w:val="3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寸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32:9</w:t>
            </w:r>
            <w:r>
              <w:rPr>
                <w:rStyle w:val="3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带鱼屏，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144</w:t>
            </w:r>
            <w:r>
              <w:rPr>
                <w:rStyle w:val="3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宽曲面显示器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华硕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DELL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机柜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42U</w:t>
            </w:r>
            <w:r>
              <w:rPr>
                <w:rStyle w:val="3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服务器机柜，含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3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个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3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孔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PDU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图腾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虚拟化平台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VMware vCenter 标准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VMware vCenter 7 标准,Per Instance,1年 VMware SNS,中国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Vmware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虚拟化授权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VMware vSphere 标准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VMware vSphere 7 标准, 1 CPU (max 32 cores/CPU socket), 1年 VMware SNS,中国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Vmware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win10</w:t>
            </w:r>
            <w:r>
              <w:rPr>
                <w:rStyle w:val="3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专业版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微软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windowsserver2016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sqlserver2014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微软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成品网线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千兆网线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5m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成品网线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千兆网线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15m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多模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5m LC-LC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DP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转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HDMI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转接线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HDMI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视频线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理线架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线缆标签机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便携式线缆标签机，含标签纸</w:t>
            </w:r>
            <w:r>
              <w:rPr>
                <w:rStyle w:val="31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32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本次采购的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超低排放环保平台服务器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要求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80" w:leftChars="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（一）服务器和存储设备必须相互兼容，为同一品牌；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80" w:leftChars="0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（二）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VMware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软件为正版授权软件。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二、本次采购的产品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含安装实施服务，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三年原厂整机质保，7*24小时服务，供货整机不得拆改和后加装，需原厂工程师安装部署调试，机器通过原厂官网可查全称“萍乡萍钢安源钢铁有限公司”。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三、投标单位需提供原厂项目授权书及售后服务承诺函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</w:p>
    <w:sectPr>
      <w:pgSz w:w="11906" w:h="16838"/>
      <w:pgMar w:top="1157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0FF1AB"/>
    <w:multiLevelType w:val="singleLevel"/>
    <w:tmpl w:val="330FF1A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ZkNzQ4ZWFiZmQ4NTRhOWRkZTk3YTMwMjlmMmZhYmUifQ=="/>
  </w:docVars>
  <w:rsids>
    <w:rsidRoot w:val="00D17D7B"/>
    <w:rsid w:val="000372DC"/>
    <w:rsid w:val="001058AB"/>
    <w:rsid w:val="00127D5E"/>
    <w:rsid w:val="002F72B4"/>
    <w:rsid w:val="004D256A"/>
    <w:rsid w:val="005525AA"/>
    <w:rsid w:val="00590D85"/>
    <w:rsid w:val="007B3191"/>
    <w:rsid w:val="009000A7"/>
    <w:rsid w:val="00954380"/>
    <w:rsid w:val="0096599E"/>
    <w:rsid w:val="00A24A4F"/>
    <w:rsid w:val="00BD21EB"/>
    <w:rsid w:val="00CE57CE"/>
    <w:rsid w:val="00CE5D31"/>
    <w:rsid w:val="00D175B0"/>
    <w:rsid w:val="00D17D7B"/>
    <w:rsid w:val="00D84765"/>
    <w:rsid w:val="00F02F3B"/>
    <w:rsid w:val="00F24959"/>
    <w:rsid w:val="0F3351BB"/>
    <w:rsid w:val="15B14D7D"/>
    <w:rsid w:val="1A682168"/>
    <w:rsid w:val="1F4B31AE"/>
    <w:rsid w:val="2BBF198C"/>
    <w:rsid w:val="375A4F1E"/>
    <w:rsid w:val="441F6454"/>
    <w:rsid w:val="480D6DF5"/>
    <w:rsid w:val="4A4F5763"/>
    <w:rsid w:val="4E812011"/>
    <w:rsid w:val="4F9077DA"/>
    <w:rsid w:val="54F03320"/>
    <w:rsid w:val="56F56C9B"/>
    <w:rsid w:val="58266411"/>
    <w:rsid w:val="5A59050E"/>
    <w:rsid w:val="62460D9A"/>
    <w:rsid w:val="67D16E5B"/>
    <w:rsid w:val="688211FC"/>
    <w:rsid w:val="6DF636C8"/>
    <w:rsid w:val="6F827B34"/>
    <w:rsid w:val="7AF00333"/>
    <w:rsid w:val="7D53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1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16">
    <w:name w:val="xl68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2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2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6"/>
      <w:szCs w:val="16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6"/>
      <w:szCs w:val="16"/>
    </w:rPr>
  </w:style>
  <w:style w:type="paragraph" w:customStyle="1" w:styleId="2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2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16"/>
      <w:szCs w:val="16"/>
    </w:rPr>
  </w:style>
  <w:style w:type="paragraph" w:customStyle="1" w:styleId="2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b/>
      <w:bCs/>
      <w:kern w:val="0"/>
      <w:sz w:val="16"/>
      <w:szCs w:val="16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b/>
      <w:bCs/>
      <w:kern w:val="0"/>
      <w:sz w:val="16"/>
      <w:szCs w:val="16"/>
    </w:rPr>
  </w:style>
  <w:style w:type="table" w:customStyle="1" w:styleId="30">
    <w:name w:val="浅色网格 - 强调文字颜色 11"/>
    <w:basedOn w:val="4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character" w:customStyle="1" w:styleId="31">
    <w:name w:val="font51"/>
    <w:basedOn w:val="6"/>
    <w:uiPriority w:val="0"/>
    <w:rPr>
      <w:rFonts w:hint="default" w:ascii="微软雅黑 Light" w:hAnsi="微软雅黑 Light" w:eastAsia="微软雅黑 Light" w:cs="微软雅黑 Light"/>
      <w:color w:val="000000"/>
      <w:sz w:val="18"/>
      <w:szCs w:val="18"/>
      <w:u w:val="none"/>
    </w:rPr>
  </w:style>
  <w:style w:type="character" w:customStyle="1" w:styleId="32">
    <w:name w:val="font31"/>
    <w:basedOn w:val="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3">
    <w:name w:val="font81"/>
    <w:basedOn w:val="6"/>
    <w:uiPriority w:val="0"/>
    <w:rPr>
      <w:rFonts w:ascii="等线" w:hAnsi="等线" w:eastAsia="等线" w:cs="等线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3982</Words>
  <Characters>5311</Characters>
  <Lines>18</Lines>
  <Paragraphs>5</Paragraphs>
  <TotalTime>2</TotalTime>
  <ScaleCrop>false</ScaleCrop>
  <LinksUpToDate>false</LinksUpToDate>
  <CharactersWithSpaces>5797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2021-11-18T06:29:00Z</dcterms:created>
  <dc:creator>彭海春</dc:creator>
  <cp:lastModifiedBy>Mr.Bright.Future</cp:lastModifiedBy>
  <cp:lastPrinted>2022-06-17T10:34:00Z</cp:lastPrinted>
  <dcterms:modified xsi:type="dcterms:W3CDTF">2022-07-22T08:17:51Z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79B18DC978C84491B24F6D6AB71AB208</vt:lpwstr>
  </property>
</Properties>
</file>