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小标宋" w:hAnsi="宋体" w:eastAsia="小标宋"/>
          <w:b/>
          <w:sz w:val="44"/>
          <w:szCs w:val="44"/>
        </w:rPr>
      </w:pPr>
      <w:r>
        <w:rPr>
          <w:rFonts w:hint="eastAsia" w:ascii="小标宋" w:hAnsi="宋体" w:eastAsia="小标宋"/>
          <w:b/>
          <w:sz w:val="44"/>
          <w:szCs w:val="44"/>
        </w:rPr>
        <w:t>招标公告</w:t>
      </w:r>
    </w:p>
    <w:p>
      <w:pPr>
        <w:spacing w:line="440" w:lineRule="exact"/>
        <w:jc w:val="center"/>
        <w:rPr>
          <w:rFonts w:ascii="仿宋" w:hAnsi="仿宋" w:eastAsia="仿宋"/>
          <w:b/>
          <w:sz w:val="28"/>
          <w:szCs w:val="44"/>
        </w:rPr>
      </w:pPr>
    </w:p>
    <w:p>
      <w:pPr>
        <w:spacing w:line="440" w:lineRule="exact"/>
        <w:jc w:val="center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szCs w:val="21"/>
        </w:rPr>
        <w:t xml:space="preserve">                                       </w:t>
      </w:r>
      <w:r>
        <w:rPr>
          <w:rFonts w:hint="eastAsia" w:ascii="仿宋" w:hAnsi="仿宋" w:eastAsia="仿宋"/>
          <w:b w:val="0"/>
          <w:bCs w:val="0"/>
          <w:color w:val="auto"/>
          <w:szCs w:val="21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业务编号：ZB/SC202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-R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G221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 xml:space="preserve">      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一、招标项目内容、技术要求、计划招标时间等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（一）招标项目名称：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超低排放环保监控设备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采购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（二）招标采购数量：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1套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（三）技术要求：符合国家、行业最新标准规范，满足需方现场要求。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（四）计划招标时间：202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旬（具体以招标说明书为准）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（五）报名截止时间：202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日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（六）其他：无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二、对投标单位的资质要求：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（一）具有独立法人资格或其他组织的中间商（成立一年以上）。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（二）具有独立法人资格或其他组织的生产厂家。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需提供原厂项目授权书及售后服务承诺函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三、拟签订合同主要条款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交货结算方式：货到招标单位指定地点，初步验收合格入库，投标单位按招标价格开具13%增值税专用发票，发票挂账60天后招标单位以银行承兑汇票滚动支付货款。支付低于六个月承兑或银行转账时按需方财务规定收取资金占用费，需方开具6%增值税发票。产品价款的10%作为质保金，质保金在供方如约履行完毕“供方对质量负责的条件和期限”约定义务的情况下，于质保期满双方无异议后返还供方，质保金不计息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（二）交货必须附产品合格证，持入库凭证到萍乡萍钢安源钢铁有限公司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安源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片物资仓库验收。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四、意向投标人提交的资格证明文件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（一）资质材料：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1.营业执照副本复印件、开户许可证复印件，如有生产许可证、体系认证证书、特种设备制造许可证等一并附上。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2.法定代表人和代理人身份证复印件及法定代表人授权委托书（授权书必须有法人章或签字及加盖公章）、承诺书。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.投标单位开票信息。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原厂项目授权书及售后服务承诺函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上述资料需加盖报名单位公章。 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提交方式：发送邮件至agqhb@pxsteel.com，发邮件时请注明邮件主题名称：XXXX公司报名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超低排放环保监控设备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招标资质文件。网上报名如不按此要求发送邮件，招标方对邮件遗失所造成的后果不负任何责任。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五、投标方式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招标单位对意向投标单位提交的资质材料进行审查，向审查合格单位发出招标说明书，请接到招标说明书的单位按要求时间交纳相应投标保证金（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0000元）、投标报名费（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00元）等。中标单位的投标保证金自动转为履约保证金，履约保证金按标的金额的5%收取，多退少补。未中标单位的投标保证金在宣标后十五个工作日内一次性返还（无息）。开票信息如下：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账户名称：萍乡萍钢安源钢铁有限公司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开户行：中国建设银行股份有限公司萍乡湘东支行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账号：36001752010052504776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六、招标方信息 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（一）招标单位名称：萍安钢铁设备材料公司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（二）招标项目业务负责人及联系方式：彭海春18870993466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（三）设备材料公司监督电话：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先生 0799-6356077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（四）审监法务部监督电话：王先生  0799-6356116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                  萍乡萍钢安源钢铁有限公司</w:t>
      </w:r>
    </w:p>
    <w:p>
      <w:pPr>
        <w:snapToGrid w:val="0"/>
        <w:spacing w:line="440" w:lineRule="exac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                 公告时间：202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日</w:t>
      </w:r>
    </w:p>
    <w:p>
      <w:pPr>
        <w:snapToGrid w:val="0"/>
        <w:spacing w:line="500" w:lineRule="exact"/>
        <w:jc w:val="center"/>
        <w:rPr>
          <w:b w:val="0"/>
          <w:bCs w:val="0"/>
          <w:color w:val="auto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超低排放环保监控设备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-R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G221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我公司对被授权人的签名负全部责任，本授权书有效期：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22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28"/>
          <w:szCs w:val="28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超低排放环保监控设备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-R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G221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tbl>
      <w:tblPr>
        <w:tblStyle w:val="4"/>
        <w:tblW w:w="802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187"/>
        <w:gridCol w:w="1159"/>
        <w:gridCol w:w="3503"/>
        <w:gridCol w:w="79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27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超低排放环保监控设备清单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参数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红外筒型摄像机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DS-2CD3646FWDA3/F-LZS(2.7~12 mm镜头)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400万1/3"CMOS 智能变焦筒型网络摄像机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采用深度学习硬件及算法，提供精准的人车分类侦测，支持越界侦测，区域入侵侦测，进入区域侦测和离开区域侦测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支持对运动人脸进行检测，跟踪，抓拍，评分，筛选，输出最优的人脸抓图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最低照度: 彩色：0.002 Lux @（F1.2，AGC ON），0 Lux with IR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宽动态: 120 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焦距&amp;视场角: 2.7~12 mm，水平视场角：106°~36°，垂直视场角：57°~20°，对角视场角：125°~41°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补光灯类型: 智能补光，可切换白光灯、红外灯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补光距离: 红外光：最远可达50 m；白光：最远可达30 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防补光过曝: 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红外波长范围: 850 nm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最大图像尺寸: 2560 × 1440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视频压缩标准: 主码流：H.265/H.264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网络存储: 支持NAS（NFS，SMB/CIFS均支持），支持MicroSD(即TF卡)/MicroSDHC/MicroSDXC卡（最大256 GB）。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网络: 1个RJ45 10 M/100 M自适应以太网口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音频: 1路输入（Line in）；1路输出（Line out）；1个内置麦克风，1个内置扬声器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报警: 1路输入，1路输出（报警输出最大支持DC24 V，1 A或AC24 V，1 A）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复位: 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电源输出: DC12 V 100 mA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产品尺寸: 94.9 × 100.1 × 195.9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包装尺寸: 315 × 137 × 141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设备重量: 800 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带包装重量: 1140 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启动和工作温湿度: -30 ℃~60 ℃；湿度小于95%（无凝结）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电流及功耗: DC：12 V，1.08 A，最大功耗：13 W；PoE：（802.3at，42.5 V~57 V），0.36 A~0.27 A，最大功耗：15 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供电方式: DC：12 V ± 25%，支持防反接保护；PoE：802.3at，Class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电源接口类型: Ø5.5 mm圆口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防护: IP67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红外筒型摄像机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DS-2CD3646FWDA3/F-LZS(7~35 mm镜头)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400万1/3"CMOS 智能变焦筒型网络摄像机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采用深度学习硬件及算法，提供精准的人车分类侦测，支持越界侦测，区域入侵侦测，进入区域侦测和离开区域侦测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支持对运动人脸进行检测，跟踪，抓拍，评分，筛选，输出最优的人脸抓图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最低照度: 彩色：0.002 Lux @（F1.2，AGC ON），0 Lux with IR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宽动态: 120 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焦距&amp;视场角: 7~35 mm，水平视场角：30°~11°，垂直视场角：16°~6°，对角视场角：34°~12°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补光灯类型: 智能补光，可切换白光灯、红外灯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补光距离: 红外光：最远可达50 m；白光：最远可达40 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防补光过曝: 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红外波长范围: 850 nm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最大图像尺寸: 2560 × 1440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视频压缩标准: 主码流：H.265/H.264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网络存储: 支持NAS（NFS，SMB/CIFS均支持），支持MicroSD(即TF卡)/MicroSDHC/MicroSDXC卡（最大256 GB）。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网络: 1个RJ45 10 M/100 M自适应以太网口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音频: 1路输入（Line in）；1路输出（Line out）；1个内置麦克风，1个内置扬声器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报警: 1路输入，1路输出（报警输出最大支持DC24 V，1 A或AC24 V，1 A）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复位: 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电源输出: DC12 V 100 mA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产品尺寸: 94.9 × 100.1 × 195.9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包装尺寸: 315 × 137 × 141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设备重量: 800 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带包装重量: 1140 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启动和工作温湿度: -30 ℃~60 ℃；湿度小于95%（无凝结）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电流及功耗: DC：12 V，1.08 A，最大功耗：13 W；PoE：（802.3at，42.5 V~57 V），0.36 A~0.27 A，最大功耗：15 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供电方式: DC：12 V ± 25%，支持防反接保护；PoE：802.3at，Class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电源接口类型: Ø5.5 mm圆口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防护: IP67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DS-98128X-I16/NT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支持上传数据到支持环保集控管理平台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3U标准机架式IP存储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X86架构/嵌入式软硬件设计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全插拔模块化无线缆设计，双电源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128路H.265、H.264混合接入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512M接入/512M存储/512M转发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16盘位，最高支持12TB硬盘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1个eSATA/Raid/2个HDMI、1个VGA，HDMI双4K异源输出（可选配液晶屏）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20路1080P或5路4K H.265、H.264混合解码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报警16进8出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4个千兆网口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2个USB2.0，2个USB3.0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Smart 2.0/整机热备/VQD视频质量诊断/SMD（普通IPC区域入侵、越界侦测检测）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选配扩展板可增加的接口：报警32进16出/4个千兆光口/8个RS-485串行接口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海康威视监控平台服务器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DS-VE22S-B/PT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4210R×2/32G，DDR4×4/600G 10K SAS×2（8盘位，RAID 1）/SAS_HBA/1GbE*2 电×1/550W(1＋1)/3Y2U，双路标准机架式服务器CPU：2颗intel至强系列处理器，核数≥10核，主频≥2.4GHz，内存：128G DDR4，16根内存插槽，最大支持扩展至2TB内存硬盘：2块 600G 10K 2.5寸，SAS硬盘阵列卡：SAS_HBA卡, 支持RAID 0/1/10PCIE，扩展：最大可支持6个PCIE扩展插槽，网口：2个千兆电口，其他接口：1个RJ45管理接口，后置2个USB 3.0接口，前置2个USB2.0接口，1个VGA接口，电源：标配550W（1+1）高效铂金CRPS冗余电源，包含400路监控授权增补，支持平台级联推送机箱规格：87.8mm(高)x448mm(宽)x729.8mm(深)，设备重量：约26KG（含导轨），操作系统：HIK OS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监控专用硬盘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ST8000VX001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SEAGATE,SKYHAWK,8TB,256MB,SATA 8Gb/s监控级硬盘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DC12V2A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适配红外筒型摄像机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适配红外筒型摄像机</w:t>
            </w:r>
          </w:p>
        </w:tc>
        <w:tc>
          <w:tcPr>
            <w:tcW w:w="3503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前端箱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长500*宽500*深200，含二层层板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含二层层板,跨接线端子，材质：外壳不锈钢，喷警示标志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防雷排插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三叉式，6位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室外8芯监控网线带电源一体线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8芯0.5无氧铜网线+2芯1.0无氧铜电源线(305米/一箱)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以太网交换机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SMB-MS4008-PWR(H3C)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8口，POE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以太网交换机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S3100V3-10TP-SI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10口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以太网交换机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S3100V3-18TP-SI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18口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六类非屏蔽网络水晶头  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TP-LINK TL-EH601-100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24K 50U"镀金触点/RJ45(100只装）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PVC线管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DN20mm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阻燃，直径20mm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射钉枪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9000T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科美滋9000T塑箱款套装,大小钉通用威力可调。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管卡钉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L=32mm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Φ20mm管卡钉：钉子长度32mm，药芯直径8mm，用于射钉枪。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室外无线网桥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DS-3WF03C-E/D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海康威视，免配置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单模八芯室外光缆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GYXTW-8B</w:t>
            </w:r>
          </w:p>
        </w:tc>
        <w:tc>
          <w:tcPr>
            <w:tcW w:w="3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室外、铠装、单模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博扬（BOYANG）BY-DG104A</w:t>
            </w:r>
          </w:p>
        </w:tc>
        <w:tc>
          <w:tcPr>
            <w:tcW w:w="3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千兆一光四电单模单纤光纤收发器交换机、光电转换器 防雷SC接口 25公里外置电源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博扬（BOYANG）BY-DG104B</w:t>
            </w:r>
          </w:p>
        </w:tc>
        <w:tc>
          <w:tcPr>
            <w:tcW w:w="3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千兆一光四电单模单纤光纤收发器交换机、光电转换器 防雷SC接口 25公里外置电源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图腾42U网络机柜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（600*800*2055）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SFP-GE-LX-SM1310-A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适配H3C交换机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 S5560X-30F-EI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24个千兆SFP口，8个10/100/1000Base-T自适应以太网端口，4个万兆SFP+口。配风扇、双电源。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SC-LC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单模3米(双纤/根)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SC-SC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单模3米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光纤法兰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SC-SC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单模拉锥式光纤分路器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 1分4</w:t>
            </w:r>
          </w:p>
        </w:tc>
        <w:tc>
          <w:tcPr>
            <w:tcW w:w="3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单模1.5米，Pheenet菲尼特分光器，电信级均分。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终端盒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8口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满配8个SC耦合器含尾纤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VVP3*1.5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额定电压450/750V，绝缘等级0.6/1kV，允许温度70℃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2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本次采购的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超低排放环保监控设备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摄像机、硬盘录像机和监控平台服务器必须相互兼容，为同一品牌；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摄像机、硬盘录像机和监控平台服务器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需提供原厂项目授权书及售后服务承诺函原件，所有产品通过原厂官网可查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三、需厂家提供指导安装调试。</w:t>
            </w:r>
          </w:p>
        </w:tc>
      </w:tr>
    </w:tbl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0FF1AB"/>
    <w:multiLevelType w:val="singleLevel"/>
    <w:tmpl w:val="330FF1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D17D7B"/>
    <w:rsid w:val="000372DC"/>
    <w:rsid w:val="001058AB"/>
    <w:rsid w:val="00127D5E"/>
    <w:rsid w:val="002F72B4"/>
    <w:rsid w:val="004D256A"/>
    <w:rsid w:val="005525AA"/>
    <w:rsid w:val="00590D85"/>
    <w:rsid w:val="007B3191"/>
    <w:rsid w:val="009000A7"/>
    <w:rsid w:val="00954380"/>
    <w:rsid w:val="0096599E"/>
    <w:rsid w:val="00A24A4F"/>
    <w:rsid w:val="00BD21EB"/>
    <w:rsid w:val="00CE57CE"/>
    <w:rsid w:val="00CE5D31"/>
    <w:rsid w:val="00D175B0"/>
    <w:rsid w:val="00D17D7B"/>
    <w:rsid w:val="00D84765"/>
    <w:rsid w:val="00F02F3B"/>
    <w:rsid w:val="00F24959"/>
    <w:rsid w:val="0F3351BB"/>
    <w:rsid w:val="15B14D7D"/>
    <w:rsid w:val="1A682168"/>
    <w:rsid w:val="1F4B31AE"/>
    <w:rsid w:val="2BBF198C"/>
    <w:rsid w:val="3229146E"/>
    <w:rsid w:val="375A4F1E"/>
    <w:rsid w:val="3D3536F5"/>
    <w:rsid w:val="480D6DF5"/>
    <w:rsid w:val="4A4F5763"/>
    <w:rsid w:val="4E812011"/>
    <w:rsid w:val="4F9077DA"/>
    <w:rsid w:val="54F03320"/>
    <w:rsid w:val="62460D9A"/>
    <w:rsid w:val="67D16E5B"/>
    <w:rsid w:val="688211FC"/>
    <w:rsid w:val="6DF636C8"/>
    <w:rsid w:val="6F827B34"/>
    <w:rsid w:val="7AF00333"/>
    <w:rsid w:val="7D5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6"/>
      <w:szCs w:val="16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6"/>
      <w:szCs w:val="16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16"/>
      <w:szCs w:val="16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16"/>
      <w:szCs w:val="16"/>
    </w:rPr>
  </w:style>
  <w:style w:type="table" w:customStyle="1" w:styleId="30">
    <w:name w:val="浅色网格 - 强调文字颜色 11"/>
    <w:basedOn w:val="4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6522</Words>
  <Characters>7517</Characters>
  <Lines>18</Lines>
  <Paragraphs>5</Paragraphs>
  <TotalTime>2</TotalTime>
  <ScaleCrop>false</ScaleCrop>
  <LinksUpToDate>false</LinksUpToDate>
  <CharactersWithSpaces>7845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2021-11-18T06:29:00Z</dcterms:created>
  <dc:creator>彭海春</dc:creator>
  <cp:lastModifiedBy>Mr.Bright.Future</cp:lastModifiedBy>
  <cp:lastPrinted>2022-06-17T10:34:00Z</cp:lastPrinted>
  <dcterms:modified xsi:type="dcterms:W3CDTF">2022-07-22T08:18:20Z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79B18DC978C84491B24F6D6AB71AB208</vt:lpwstr>
  </property>
</Properties>
</file>